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numPr>
          <w:ilvl w:val="0"/>
          <w:numId w:val="0"/>
        </w:numPr>
        <w:jc w:val="center"/>
        <w:outlineLvl w:val="0"/>
      </w:pPr>
      <w:r>
        <w:t xml:space="preserve">МИНИСТЕРСТВО ОБРАЗОВАНИЯ И НАУКИ РОССИЙСКОЙ ФЕДЕРАЦИИ</w:t>
      </w:r>
      <w:r/>
    </w:p>
    <w:p>
      <w:pPr>
        <w:pStyle w:val="884"/>
        <w:jc w:val="center"/>
      </w:pPr>
      <w:r>
        <w:t xml:space="preserve">Федеральное государственное бюджетное образовательное учреждение</w:t>
      </w:r>
      <w:r/>
    </w:p>
    <w:p>
      <w:pPr>
        <w:pStyle w:val="884"/>
        <w:jc w:val="center"/>
      </w:pPr>
      <w:r>
        <w:t xml:space="preserve">высшего образования </w:t>
      </w:r>
      <w:r/>
    </w:p>
    <w:p>
      <w:pPr>
        <w:pStyle w:val="884"/>
        <w:jc w:val="center"/>
      </w:pPr>
      <w:r>
        <w:t xml:space="preserve">«Забайкальский государственный университет»</w:t>
      </w:r>
      <w:r/>
    </w:p>
    <w:p>
      <w:pPr>
        <w:pStyle w:val="884"/>
        <w:numPr>
          <w:ilvl w:val="0"/>
          <w:numId w:val="0"/>
        </w:numPr>
        <w:jc w:val="center"/>
        <w:outlineLvl w:val="0"/>
      </w:pPr>
      <w:r>
        <w:t xml:space="preserve">(ФГБОУ ВО «ЗабГУ»)</w:t>
      </w:r>
      <w:r/>
    </w:p>
    <w:p>
      <w:pPr>
        <w:pStyle w:val="884"/>
        <w:contextualSpacing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4"/>
        <w:contextualSpacing/>
        <w:spacing w:before="0" w:after="0" w:line="360" w:lineRule="auto"/>
      </w:pPr>
      <w:r>
        <w:t xml:space="preserve">Факультет  </w:t>
      </w:r>
      <w:r>
        <w:rPr>
          <w:u w:val="single"/>
        </w:rPr>
        <w:t xml:space="preserve">энергетический</w:t>
      </w:r>
      <w:r/>
    </w:p>
    <w:p>
      <w:pPr>
        <w:pStyle w:val="884"/>
        <w:contextualSpacing/>
        <w:spacing w:before="0" w:after="0" w:line="360" w:lineRule="auto"/>
      </w:pPr>
      <w:r>
        <w:t xml:space="preserve">Кафедра  </w:t>
      </w:r>
      <w:r>
        <w:rPr>
          <w:u w:val="single"/>
        </w:rPr>
        <w:t xml:space="preserve">Энергетики </w:t>
      </w:r>
      <w:r/>
    </w:p>
    <w:p>
      <w:pPr>
        <w:pStyle w:val="884"/>
        <w:numPr>
          <w:ilvl w:val="0"/>
          <w:numId w:val="0"/>
        </w:numPr>
        <w:jc w:val="center"/>
        <w:outlineLvl w:val="0"/>
      </w:pPr>
      <w:r/>
      <w:r/>
    </w:p>
    <w:p>
      <w:pPr>
        <w:numPr>
          <w:ilvl w:val="0"/>
          <w:numId w:val="0"/>
        </w:num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numPr>
          <w:ilvl w:val="0"/>
          <w:numId w:val="0"/>
        </w:num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numPr>
          <w:ilvl w:val="0"/>
          <w:numId w:val="0"/>
        </w:num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4"/>
        <w:numPr>
          <w:ilvl w:val="0"/>
          <w:numId w:val="0"/>
        </w:num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numPr>
          <w:ilvl w:val="0"/>
          <w:numId w:val="0"/>
        </w:num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4"/>
        <w:numPr>
          <w:ilvl w:val="0"/>
          <w:numId w:val="0"/>
        </w:num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884"/>
        <w:numPr>
          <w:ilvl w:val="0"/>
          <w:numId w:val="0"/>
        </w:numPr>
        <w:jc w:val="center"/>
        <w:rPr>
          <w:b/>
          <w:spacing w:val="24"/>
        </w:rPr>
        <w:outlineLvl w:val="0"/>
      </w:pPr>
      <w:r>
        <w:rPr>
          <w:b/>
          <w:spacing w:val="24"/>
        </w:rPr>
        <w:t xml:space="preserve">УЧЕБНЫЕ МАТЕРИАЛЫ </w:t>
      </w:r>
      <w:r/>
    </w:p>
    <w:p>
      <w:pPr>
        <w:pStyle w:val="884"/>
        <w:numPr>
          <w:ilvl w:val="0"/>
          <w:numId w:val="0"/>
        </w:numPr>
        <w:jc w:val="center"/>
        <w:rPr>
          <w:b/>
          <w:spacing w:val="24"/>
        </w:rPr>
        <w:outlineLvl w:val="0"/>
      </w:pPr>
      <w:r>
        <w:rPr>
          <w:b/>
          <w:spacing w:val="24"/>
        </w:rPr>
        <w:t xml:space="preserve">для студентов заочной формы обучения</w:t>
      </w:r>
      <w:r/>
    </w:p>
    <w:p>
      <w:pPr>
        <w:pStyle w:val="884"/>
        <w:numPr>
          <w:ilvl w:val="0"/>
          <w:numId w:val="0"/>
        </w:numPr>
        <w:jc w:val="center"/>
        <w:outlineLvl w:val="0"/>
      </w:pPr>
      <w:r/>
      <w:r/>
    </w:p>
    <w:p>
      <w:pPr>
        <w:pStyle w:val="884"/>
        <w:numPr>
          <w:ilvl w:val="0"/>
          <w:numId w:val="0"/>
        </w:numPr>
        <w:contextualSpacing/>
        <w:jc w:val="center"/>
        <w:spacing w:before="0" w:after="0"/>
        <w:rPr>
          <w:u w:val="single"/>
        </w:rPr>
        <w:outlineLvl w:val="0"/>
      </w:pPr>
      <w:r>
        <w:t xml:space="preserve">по дисциплине </w:t>
      </w:r>
      <w:r>
        <w:rPr>
          <w:u w:val="single"/>
        </w:rPr>
        <w:t xml:space="preserve">«Тепловые и атомные электрические станции»</w:t>
      </w:r>
      <w:r/>
    </w:p>
    <w:p>
      <w:pPr>
        <w:pStyle w:val="884"/>
        <w:numPr>
          <w:ilvl w:val="0"/>
          <w:numId w:val="0"/>
        </w:numPr>
        <w:contextualSpacing/>
        <w:jc w:val="center"/>
        <w:spacing w:before="0" w:after="0"/>
        <w:rPr>
          <w:u w:val="single"/>
        </w:rPr>
        <w:outlineLvl w:val="0"/>
      </w:pPr>
      <w:r>
        <w:rPr>
          <w:u w:val="single"/>
        </w:rPr>
      </w:r>
      <w:r/>
    </w:p>
    <w:p>
      <w:pPr>
        <w:pStyle w:val="884"/>
        <w:numPr>
          <w:ilvl w:val="0"/>
          <w:numId w:val="0"/>
        </w:numPr>
        <w:contextualSpacing/>
        <w:jc w:val="center"/>
        <w:spacing w:before="0" w:after="0"/>
        <w:outlineLvl w:val="0"/>
      </w:pPr>
      <w:r>
        <w:t xml:space="preserve">для направления подготовки </w:t>
      </w:r>
      <w:r>
        <w:rPr>
          <w:u w:val="single"/>
        </w:rPr>
        <w:t xml:space="preserve">13.03.01  – Теплоэнергетика и теплотехника</w:t>
      </w:r>
      <w:r/>
    </w:p>
    <w:p>
      <w:pPr>
        <w:pStyle w:val="884"/>
        <w:ind w:firstLine="567"/>
        <w:rPr>
          <w:u w:val="single"/>
        </w:rPr>
      </w:pPr>
      <w:r>
        <w:rPr>
          <w:u w:val="single"/>
        </w:rPr>
      </w:r>
      <w:r/>
    </w:p>
    <w:p>
      <w:pPr>
        <w:pStyle w:val="884"/>
        <w:numPr>
          <w:ilvl w:val="0"/>
          <w:numId w:val="7"/>
        </w:numPr>
        <w:contextualSpacing/>
        <w:jc w:val="center"/>
        <w:spacing w:before="0" w:after="0" w:line="276" w:lineRule="auto"/>
        <w:rPr>
          <w:b/>
        </w:rPr>
      </w:pPr>
      <w:r>
        <w:br w:type="page"/>
      </w:r>
      <w:r>
        <w:rPr>
          <w:b/>
        </w:rPr>
        <w:t xml:space="preserve">Краткое содержание курса</w:t>
      </w:r>
      <w:r/>
    </w:p>
    <w:p>
      <w:pPr>
        <w:contextualSpacing/>
        <w:ind w:left="720" w:firstLine="0"/>
        <w:jc w:val="center"/>
        <w:spacing w:before="0" w:after="0" w:line="276" w:lineRule="auto"/>
        <w:rPr>
          <w:b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pStyle w:val="972"/>
        <w:numPr>
          <w:ilvl w:val="1"/>
          <w:numId w:val="10"/>
        </w:numPr>
        <w:contextualSpacing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Современное состояние и проблемы энергетики. Топливно-энергетические ресурсы</w:t>
      </w:r>
      <w:r/>
    </w:p>
    <w:p>
      <w:pPr>
        <w:pStyle w:val="884"/>
        <w:contextualSpacing/>
        <w:ind w:firstLine="709"/>
        <w:jc w:val="both"/>
        <w:spacing w:before="0" w:after="0" w:line="276" w:lineRule="auto"/>
        <w:rPr>
          <w:highlight w:val="none"/>
        </w:rPr>
      </w:pPr>
      <w:r>
        <w:t xml:space="preserve">Роль энергетики в народном хозяйстве страны. Энергетические ресурсы. Возобновляемые и невозобновляемы</w:t>
      </w:r>
      <w:r>
        <w:t xml:space="preserve">е источники энергии. Структура топливно-энергетического баланса России и перспективы ее изменения. Значение тепловых и атомных электростанций в энергетике страны. Объединение электростанций и энергосистем. Проблемы развития энергетики и пути их разрешения.</w:t>
      </w:r>
      <w:r/>
    </w:p>
    <w:p>
      <w:pPr>
        <w:contextualSpacing/>
        <w:ind w:firstLine="709"/>
        <w:jc w:val="both"/>
        <w:spacing w:before="0" w:after="0" w:line="276" w:lineRule="auto"/>
      </w:pPr>
      <w:r>
        <w:rPr>
          <w:highlight w:val="none"/>
        </w:rPr>
      </w:r>
      <w:r>
        <w:rPr>
          <w:highlight w:val="none"/>
        </w:rPr>
      </w:r>
    </w:p>
    <w:p>
      <w:pPr>
        <w:pStyle w:val="972"/>
        <w:numPr>
          <w:ilvl w:val="1"/>
          <w:numId w:val="10"/>
        </w:numPr>
        <w:contextualSpacing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Классификация электростанций. Типы ТЭС и АЭС</w:t>
      </w:r>
      <w:r/>
    </w:p>
    <w:p>
      <w:pPr>
        <w:pStyle w:val="884"/>
        <w:contextualSpacing/>
        <w:ind w:firstLine="709"/>
        <w:jc w:val="both"/>
        <w:spacing w:before="0" w:after="0" w:line="276" w:lineRule="auto"/>
        <w:rPr>
          <w:highlight w:val="none"/>
        </w:rPr>
      </w:pPr>
      <w:r>
        <w:t xml:space="preserve">Особенности электростанций как про</w:t>
      </w:r>
      <w:r>
        <w:t xml:space="preserve">мышленных предприятий и требования, предъявляемые к ним. Классификация тепловых и атомных электростанций. Технологическая схема паротурбинных электростанций. Цеховая структура и организация управления. Основные потребители тепловой и электрической энергии.</w:t>
      </w:r>
      <w:r>
        <w:t xml:space="preserve"> Графики нагрузок: суточные, сезонные, годовые. Характеристики графика электрической нагрузки: коэффициент заполнения, коэффициент неравномерности, число часов использования установленной мощности и др. Оптимизация режимов энергопроизводства и потребления.</w:t>
      </w:r>
      <w:r/>
    </w:p>
    <w:p>
      <w:pPr>
        <w:contextualSpacing/>
        <w:ind w:firstLine="709"/>
        <w:jc w:val="both"/>
        <w:spacing w:before="0" w:after="0" w:line="276" w:lineRule="auto"/>
      </w:pPr>
      <w:r>
        <w:rPr>
          <w:highlight w:val="none"/>
        </w:rPr>
      </w:r>
      <w:r>
        <w:rPr>
          <w:highlight w:val="none"/>
        </w:rPr>
      </w:r>
    </w:p>
    <w:p>
      <w:pPr>
        <w:pStyle w:val="972"/>
        <w:numPr>
          <w:ilvl w:val="1"/>
          <w:numId w:val="10"/>
        </w:numPr>
        <w:contextualSpacing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Технико-экономические показатели электростанций. Методы повышения экономичности ТЭС и АЭС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Раздельное и комбинированное энергопроизводство. Тепловые балансы КЭС и ТЭЦ. Распределение тепловых потерь по элементам электростанций.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Показатели экономичности конденсационных электростанций: КПД, удельные расходы пара, тепла и топлива.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Расходы пара, тепла и топлива в комбинированных энергоустановках. Теплофикационная и конденсационная электрические мощности ТЭЦ. Удельная выработка электроэнергии на тепловом потреблении.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Начальные параметры паротурбинных установок и их влияние на тепловую экономичность. Докритические и сверхкритические параметры пара. Сопряженные начальные параметры.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Конечные параметры турбинных установок и их влияние на тепловую экономичность. Выбор оптимального вакуума в конденсаторах турбоустановок. Встроенные теплофикационные пучки конденсаторов: их влияние на экономичность и необходимые условия работы.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Промежуточный перегрев пара: назначение, схемы и параметры промперегрева. Влияние промперегрева на технико-экономические показатели электростанций.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Регенеративный подогрев питательной воды. Расходы пара, тепла и КПД цикла с регенеративным подогревом. Экон</w:t>
      </w:r>
      <w:r>
        <w:t xml:space="preserve">омичное распределение подогрева по ступеням. Типы регенеративных подогревателей и схемы их включения. Способы отвода дренажей из подогревателей. Выбор параметров регенеративного подогрева. Экономически наивыгоднейшая температура подогрева питательной воды.</w:t>
      </w:r>
      <w:r/>
    </w:p>
    <w:p>
      <w:pPr>
        <w:pStyle w:val="884"/>
        <w:contextualSpacing/>
        <w:ind w:firstLine="709"/>
        <w:jc w:val="both"/>
        <w:spacing w:before="0" w:after="0" w:line="276" w:lineRule="auto"/>
        <w:rPr>
          <w:highlight w:val="none"/>
        </w:rPr>
      </w:pPr>
      <w:r>
        <w:t xml:space="preserve">Модернизация действующих электростанций: пристройка и надстройка. Реконструкция основного и вспомогательного оборудования ТЭС и АЭС. Экономическая эффективность модернизации.</w:t>
      </w:r>
      <w:r/>
    </w:p>
    <w:p>
      <w:pPr>
        <w:contextualSpacing/>
        <w:ind w:firstLine="709"/>
        <w:jc w:val="both"/>
        <w:spacing w:before="0" w:after="0" w:line="276" w:lineRule="auto"/>
      </w:pPr>
      <w:r>
        <w:rPr>
          <w:highlight w:val="none"/>
        </w:rPr>
      </w:r>
      <w:r>
        <w:rPr>
          <w:highlight w:val="none"/>
        </w:rPr>
      </w:r>
    </w:p>
    <w:p>
      <w:pPr>
        <w:pStyle w:val="972"/>
        <w:numPr>
          <w:ilvl w:val="1"/>
          <w:numId w:val="10"/>
        </w:numPr>
        <w:contextualSpacing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Восполнение потерь пара и воды. Деаэрация воды на электростанциях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Потери пара и конденсата на электростанциях. Методы снижения и восполнения потерь. Расширители непрерывной продувки котлов и их тепловой расчет. 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Балансы расходов пара, конденсата и питательной воды на электростанциях. Влияние внутренних и внешних тепловых потерь на КПД электростанций. 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Принципы выбора способа подготовки добавочной воды на ТЭС. Испарительные установки: назначение, схемы включения, параметры, тепловой расчет. </w:t>
      </w:r>
      <w:r/>
    </w:p>
    <w:p>
      <w:pPr>
        <w:pStyle w:val="884"/>
        <w:contextualSpacing/>
        <w:ind w:firstLine="709"/>
        <w:jc w:val="both"/>
        <w:spacing w:before="0" w:after="0" w:line="276" w:lineRule="auto"/>
        <w:rPr>
          <w:highlight w:val="none"/>
        </w:rPr>
      </w:pPr>
      <w:r>
        <w:t xml:space="preserve">Назначение и требования к деаэраторным установкам. Физические </w:t>
      </w:r>
      <w:r>
        <w:t xml:space="preserve">основы термической деаэрации. Типы и конструкции деаэраторов. Схемы их включения и тепловой расчет. Защитные устройства деаэраторов. Деаэрационные характеристики конденсаторов турбин. Деаэрация добавочной воды теплосети. Бездеаэраторные тепловые схемы ТЭС.</w:t>
      </w:r>
      <w:r/>
    </w:p>
    <w:p>
      <w:pPr>
        <w:contextualSpacing/>
        <w:ind w:firstLine="709"/>
        <w:jc w:val="both"/>
        <w:spacing w:before="0" w:after="0" w:line="276" w:lineRule="auto"/>
      </w:pPr>
      <w:r>
        <w:rPr>
          <w:highlight w:val="none"/>
        </w:rPr>
      </w:r>
      <w:r>
        <w:rPr>
          <w:highlight w:val="none"/>
        </w:rPr>
      </w:r>
    </w:p>
    <w:p>
      <w:pPr>
        <w:pStyle w:val="972"/>
        <w:numPr>
          <w:ilvl w:val="1"/>
          <w:numId w:val="10"/>
        </w:numPr>
        <w:contextualSpacing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Теплоснабжение потребителей. Принципиальные тепловые схемы электростанций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Отпуск тепла внешним потребителям. Виды тепловых нагрузок и их расчет. Графики тепловых нагрузок. Температурный график теплосети. Качественное и количественное регулирование отпуска тепла потребителям.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Схемы подогрева сетевой воды на ТЭЦ и КЭС. Тепловой расчет подогревателей.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Пиковые ступени сетевых подогревательных установок. Коэффициент теплофикации ТЭЦ.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Редукционно-охладительные установки: назначение, принцип работы, конструкция, тепловой расчет.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Непосредственный отпуск технологического пара потребителям от ТЭЦ. Паропреобразователи и их включение в тепловую схему электростанции. Системы возврата и очистки обратного конденсата от потребителей.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Назначение принципиальных тепловых схем ТЭС. Выбор типов и параметров основных агрегатов электростанций. Составление принципиальной тепловой схемы (выбор системы регенерации, схемы включения </w:t>
      </w:r>
      <w:r>
        <w:t xml:space="preserve">питательных насосов и пр.). Методика расчета принципиальных тепловых схем электростанций. Методы оценки изменений в тепловой схеме с помощью коэффициентов ценности теплоты и коэффициентов изменения мощности. Особенности расчета тепловых схем КЭС, ТЭЦ, АЭС.</w:t>
      </w:r>
      <w:r/>
    </w:p>
    <w:p>
      <w:pPr>
        <w:pStyle w:val="884"/>
        <w:contextualSpacing/>
        <w:ind w:firstLine="709"/>
        <w:jc w:val="both"/>
        <w:spacing w:before="0" w:after="0" w:line="276" w:lineRule="auto"/>
        <w:rPr>
          <w:highlight w:val="none"/>
        </w:rPr>
      </w:pPr>
      <w:r>
        <w:t xml:space="preserve">Принципиальные тепловые схемы с турбинами типа К, Т, ПТ и Р. Принципиальные тепловые схемы атомных электростанций с реакторами ВВЭР и РБМК. Одноконтурные и двухконтурные схемы АЭС.</w:t>
      </w:r>
      <w:r/>
    </w:p>
    <w:p>
      <w:pPr>
        <w:contextualSpacing/>
        <w:ind w:firstLine="709"/>
        <w:jc w:val="both"/>
        <w:spacing w:before="0" w:after="0" w:line="276" w:lineRule="auto"/>
      </w:pPr>
      <w:r>
        <w:rPr>
          <w:highlight w:val="none"/>
        </w:rPr>
      </w:r>
      <w:r>
        <w:rPr>
          <w:highlight w:val="none"/>
        </w:rPr>
      </w:r>
    </w:p>
    <w:p>
      <w:pPr>
        <w:pStyle w:val="972"/>
        <w:numPr>
          <w:ilvl w:val="1"/>
          <w:numId w:val="10"/>
        </w:numPr>
        <w:contextualSpacing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Развернутые тепловые схемы и вспомогательное оборудование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Содержание полной (развернутой) тепловой схемы электростанции. Виды тепловых схем: с поперечными связями, блочные, секционные с переключательной магистралью. Преимущества блочных схем ТЭС.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Требования надежности и экономичности работы вспомогательного оборудования. Норм</w:t>
      </w:r>
      <w:r>
        <w:t xml:space="preserve">ы технологического проектирования тепловых электрических станций и тепловых сетей. Резервирование вспомогательных агрегатов. Выбор типа привода, схемы включения и мощности питательных, циркуляционных, конденсатных, сетевых и других насосов электростанций. 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Выбор и включение основных теплообменников (регенеративных подогревателей, деаэраторов, испарителей, сетевых подогревателей). РОУ и БРОУ: выбор и включение в тепловую схему. Баковое хозяйство электростанции.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Выбор способа подготовки топлива и оборудования систем пылеприготовления на ТЭС. Обеспечение взрывобезопасности оборудования.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Тягодутьевые установки электростанций: основные характеристики воздушного и газового трактов; выбор типа и числа дутьевых вентиляторов и дымососов.</w:t>
      </w:r>
      <w:r/>
    </w:p>
    <w:p>
      <w:pPr>
        <w:pStyle w:val="884"/>
        <w:contextualSpacing/>
        <w:ind w:firstLine="709"/>
        <w:jc w:val="both"/>
        <w:spacing w:before="0" w:after="0" w:line="276" w:lineRule="auto"/>
        <w:rPr>
          <w:highlight w:val="none"/>
        </w:rPr>
      </w:pPr>
      <w:r>
        <w:t xml:space="preserve">Трубопроводы электростанций. Категории трубопроводов. Компенсация термических удлинений и самокомпенсация. Арматура, тепловая изоляция и опоры трубопроводов.</w:t>
      </w:r>
      <w:r/>
    </w:p>
    <w:p>
      <w:pPr>
        <w:contextualSpacing/>
        <w:ind w:firstLine="709"/>
        <w:jc w:val="both"/>
        <w:spacing w:before="0" w:after="0" w:line="276" w:lineRule="auto"/>
      </w:pPr>
      <w:r>
        <w:rPr>
          <w:highlight w:val="none"/>
        </w:rPr>
      </w:r>
      <w:r>
        <w:rPr>
          <w:highlight w:val="none"/>
        </w:rPr>
      </w:r>
    </w:p>
    <w:p>
      <w:pPr>
        <w:pStyle w:val="972"/>
        <w:numPr>
          <w:ilvl w:val="1"/>
          <w:numId w:val="10"/>
        </w:numPr>
        <w:contextualSpacing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водоснабжение и топливоснабжение ТЭС и АЭС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Балансы потребления воды на</w:t>
      </w:r>
      <w:r>
        <w:t xml:space="preserve"> ТЭС и АЭС. Источники водоснабжения. Классификация систем водоснабжения. Прямоточное водоснабжение: достоинства и недостатки. Оборотное водоснабжение с прудами-охладителями, брызгальными бассейнами и градирнями. Экономический вакуум в конденсаторах турбин.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Береговые насосные и водоприемные устройства. Водоводы электростанций. Расходы электроэнергии на приводы циркуляционных насосов. Технико-экономические показатели различных систем водоснабжения.</w:t>
      </w:r>
      <w:r/>
    </w:p>
    <w:p>
      <w:pPr>
        <w:pStyle w:val="884"/>
        <w:contextualSpacing/>
        <w:ind w:firstLine="709"/>
        <w:jc w:val="both"/>
        <w:spacing w:before="0" w:after="0" w:line="276" w:lineRule="auto"/>
        <w:rPr>
          <w:highlight w:val="none"/>
        </w:rPr>
      </w:pPr>
      <w:r>
        <w:t xml:space="preserve">Топливное хозяйство ТЭС на твердом, жидком и газообразном топливе</w:t>
      </w:r>
      <w:r>
        <w:t xml:space="preserve">. Доставка топлива, приемо-разгрузочные устройства. Внутристанционный транспорт топлива: транспортирующие устройства, мероприятия по обеспечению надежности подачи топлива, противопожарные требования. Транспортно-технологические операции с ядерным топливом.</w:t>
      </w:r>
      <w:r/>
    </w:p>
    <w:p>
      <w:pPr>
        <w:contextualSpacing/>
        <w:ind w:firstLine="709"/>
        <w:jc w:val="both"/>
        <w:spacing w:before="0" w:after="0" w:line="276" w:lineRule="auto"/>
      </w:pPr>
      <w:r>
        <w:rPr>
          <w:highlight w:val="none"/>
        </w:rPr>
      </w:r>
      <w:r>
        <w:rPr>
          <w:highlight w:val="none"/>
        </w:rPr>
      </w:r>
    </w:p>
    <w:p>
      <w:pPr>
        <w:pStyle w:val="972"/>
        <w:numPr>
          <w:ilvl w:val="1"/>
          <w:numId w:val="10"/>
        </w:numPr>
        <w:contextualSpacing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Очистка дымовых газов и золошлакоудаление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Влияние теплоэнергетических установок на окружающую среду: вредные выбросы в атмосферу и водоемы, тепловое, шумовое и радиоактивное загрязнение.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Очистка газов на ТЭС и АЭС. Типы золоуловителей: принцип действия, область применения, эффективность и выбор.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Отвод в атмосферу дымовых газов ТЭС. Рассеивание вредных выбросов в атмосфере. Конструкции дымовых труб тепловых электростанций. Выбор и расчеты дымовых труб.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Системы золошлакоудаления на ТЭС (гидравлические, пневматические, комбинированные). Багерные установки, золоотвалы. Основные пути полезного использования золы и шлака. </w:t>
      </w:r>
      <w:r/>
    </w:p>
    <w:p>
      <w:pPr>
        <w:pStyle w:val="884"/>
        <w:contextualSpacing/>
        <w:ind w:firstLine="709"/>
        <w:jc w:val="both"/>
        <w:spacing w:before="0" w:after="0" w:line="276" w:lineRule="auto"/>
        <w:rPr>
          <w:highlight w:val="none"/>
        </w:rPr>
      </w:pPr>
      <w:r>
        <w:t xml:space="preserve">Сбор и удаление отходов на атомных электростанциях.</w:t>
      </w:r>
      <w:r/>
    </w:p>
    <w:p>
      <w:pPr>
        <w:contextualSpacing/>
        <w:ind w:firstLine="709"/>
        <w:jc w:val="both"/>
        <w:spacing w:before="0" w:after="0" w:line="276" w:lineRule="auto"/>
      </w:pPr>
      <w:r>
        <w:rPr>
          <w:highlight w:val="none"/>
        </w:rPr>
      </w:r>
      <w:r>
        <w:rPr>
          <w:highlight w:val="none"/>
        </w:rPr>
      </w:r>
    </w:p>
    <w:p>
      <w:pPr>
        <w:pStyle w:val="972"/>
        <w:numPr>
          <w:ilvl w:val="1"/>
          <w:numId w:val="10"/>
        </w:numPr>
        <w:contextualSpacing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Компоновка главного корпуса. Генеральный план электростанций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Типы компоновок ТЭ</w:t>
      </w:r>
      <w:r>
        <w:t xml:space="preserve">С и АЭС. Основные требования, предъявляемые к компоновке главного корпуса электростанции. Особенности компоновки оборудования турбинного цеха (машзала), котельного цеха, бункерно-деаэраторного отделения. Влияние вида топлива на компоновку главного корпуса.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Типовые проекты главного корпуса КЭС с энергоблоками большой мощности на различных видах топлива. Типовые проекты теплоэлектроцентралей (ТЭЦ ЗИТТ и ТЭЦ ЗИГМ). Технико-экономические показатели различных компоновок.</w:t>
      </w:r>
      <w:r/>
    </w:p>
    <w:p>
      <w:pPr>
        <w:pStyle w:val="884"/>
        <w:contextualSpacing/>
        <w:ind w:firstLine="709"/>
        <w:jc w:val="both"/>
        <w:spacing w:before="0" w:after="0" w:line="276" w:lineRule="auto"/>
        <w:rPr>
          <w:highlight w:val="none"/>
        </w:rPr>
      </w:pPr>
      <w:r>
        <w:t xml:space="preserve">Общие принципы размещения электростанций. Требования к площадкам для строи</w:t>
      </w:r>
      <w:r>
        <w:t xml:space="preserve">тельства. Влияние систем топливоснабжения, водоснабжения, топографии и геологии местности. Подъездные пути к ТЭС. Требования к размещению основных и вспомогательных сооружений на территории электростанции. Коэффициенты застройки и использования территории.</w:t>
      </w:r>
      <w:r/>
    </w:p>
    <w:p>
      <w:pPr>
        <w:contextualSpacing/>
        <w:ind w:firstLine="709"/>
        <w:jc w:val="both"/>
        <w:spacing w:before="0" w:after="0" w:line="276" w:lineRule="auto"/>
      </w:pPr>
      <w:r>
        <w:rPr>
          <w:highlight w:val="none"/>
        </w:rPr>
      </w:r>
      <w:r>
        <w:rPr>
          <w:highlight w:val="none"/>
        </w:rPr>
      </w:r>
    </w:p>
    <w:p>
      <w:pPr>
        <w:pStyle w:val="972"/>
        <w:numPr>
          <w:ilvl w:val="1"/>
          <w:numId w:val="10"/>
        </w:numPr>
        <w:contextualSpacing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Перспективные типы электростанций. Альтернативные источники энергии. Энергосбережение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Энергетическая политика России в новых экономических условиях. Газотурбинные э</w:t>
      </w:r>
      <w:r>
        <w:t xml:space="preserve">лектростанции. Парогазовые установки (с высоконапорными парогенераторами, с котлами-утилизаторами, с внутрицикловой газификацией твердого топлива и др.). Экологически чистые электростанции. Нетрадиционные методы выработки тепловой и электрической энергии. 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Энергосбережение: пути экономии энергии в быту и на производстве; окупаемость энергосберегающих мероприятий.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Энергетика Забайкалья: история развития, современное состояние, перспективы развития. Теплотехническое оборудование электростанций территориальной генерирующей компании ТГК-14.</w:t>
      </w:r>
      <w:r/>
    </w:p>
    <w:p>
      <w:pPr>
        <w:pStyle w:val="884"/>
        <w:jc w:val="center"/>
        <w:spacing w:line="276" w:lineRule="auto"/>
        <w:rPr>
          <w:b/>
        </w:rPr>
      </w:pPr>
      <w:r>
        <w:rPr>
          <w:b/>
        </w:rPr>
      </w:r>
      <w:r/>
    </w:p>
    <w:p>
      <w:pPr>
        <w:pStyle w:val="884"/>
        <w:numPr>
          <w:ilvl w:val="0"/>
          <w:numId w:val="7"/>
        </w:numPr>
        <w:contextualSpacing/>
        <w:jc w:val="center"/>
        <w:spacing w:before="0" w:after="0" w:line="276" w:lineRule="auto"/>
        <w:rPr>
          <w:b/>
        </w:rPr>
      </w:pPr>
      <w:r>
        <w:rPr>
          <w:b/>
        </w:rPr>
        <w:t xml:space="preserve">Форма текущего контроля </w:t>
      </w:r>
      <w:r/>
    </w:p>
    <w:p>
      <w:pPr>
        <w:pStyle w:val="884"/>
        <w:contextualSpacing/>
        <w:jc w:val="center"/>
        <w:spacing w:before="0" w:after="0" w:line="276" w:lineRule="auto"/>
        <w:rPr>
          <w:b/>
        </w:rPr>
      </w:pPr>
      <w:r>
        <w:rPr>
          <w:b/>
        </w:rPr>
        <w:t xml:space="preserve">Контрольная работа</w:t>
      </w:r>
      <w:r/>
    </w:p>
    <w:p>
      <w:pPr>
        <w:pStyle w:val="884"/>
        <w:contextualSpacing/>
        <w:ind w:firstLine="709"/>
        <w:jc w:val="both"/>
        <w:spacing w:before="0" w:after="0" w:line="276" w:lineRule="auto"/>
        <w:rPr>
          <w:i/>
        </w:rPr>
      </w:pPr>
      <w:r>
        <w:t xml:space="preserve">По учебному плану предусмотрено выполнение одной контрольной работы в 8 семестре. Контрольная работа включает три задачи и два теоретических вопроса. Варианты заданий представлены в </w:t>
      </w:r>
      <w:r>
        <w:rPr>
          <w:i/>
        </w:rPr>
        <w:t xml:space="preserve">«Методических рекомендациях по организации самостоятельного изучения дисциплины «Тепловые и атомные электрические станции» студентами заочной формы обучения направления подготовки 13.03.01 (140100.62) – Теплоэнергетика и теплотехника».</w:t>
      </w:r>
      <w:r/>
    </w:p>
    <w:p>
      <w:pPr>
        <w:pStyle w:val="884"/>
        <w:contextualSpacing/>
        <w:ind w:firstLine="709"/>
        <w:jc w:val="both"/>
        <w:spacing w:before="0" w:after="0" w:line="276" w:lineRule="auto"/>
        <w:rPr>
          <w:highlight w:val="none"/>
        </w:rPr>
      </w:pPr>
      <w:r>
        <w:t xml:space="preserve">По со</w:t>
      </w:r>
      <w:r>
        <w:t xml:space="preserve">гласованию с преподавателем, ведущим занятия по дисциплине, студенту может быть предоставлена возможность выполнения индивидуального контрольного задания. Это задание должно быть связано с решением конкретной научно-технической задачи на энергетическом про</w:t>
      </w:r>
      <w:r>
        <w:t xml:space="preserve">изводстве, где работает студент-заочник. При этом решение такой задачи должно обеспечивать реальный экономический эффект для производства. Преподаватели кафедры ТЭС могут осуществлять проведение необходимых консультаций по тематике индивидуального задания.</w: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972"/>
        <w:contextualSpacing/>
        <w:ind w:left="1277" w:hanging="1135"/>
        <w:jc w:val="center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методические указания к выполнению контрольной работы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Каждый студент заочник должен знать, что письменная контрольная работа – это его своеобразный отчет об успехах в овладении учебной дисциплиной.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Цель контрольной работы – освоение студентами методик проведения теплотехнических расчетов. При этом математические выражения не должны заслонять физической сущности р</w:t>
      </w:r>
      <w:r>
        <w:t xml:space="preserve">ассматриваемых явлений (процессов преобразования энергии, теплообмена и пр.), а, наоборот, способствовать их глубокому пониманию. Следует хорошо знать размерности всех применяемых в расчетах физических величин и их перевод из одной системы единиц в другую.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Контрольное задание рекомендуется выполнять по</w:t>
      </w:r>
      <w:r>
        <w:t xml:space="preserve">сле проработки соответствующих разделов теоретического материала. Контрольные задачи составлены в десяти вариантах. В каждой задаче исходные данные выбираются по последней цифре шифра студента. Работы, выполненные не по своему варианту, не рассматриваются.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При выполнении контрольного задания следует соблюдать следующие общие требования: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а) задание желательно выполнять в отдельной школьной тетради;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б) обязательно записывать условия каждой задачи;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в) решение задачи сопровождать кратким пояснительным текстом, в котором указывать: какие величины определяются и по какой формуле; какие величины входят в формулу; откуда взяты их значения и т.д.;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г) вычисления давать в развернутом виде, приводя промежуточные результаты;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д) при полученных величинах обязательно проставлять единицы измерения (размерности);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е) вычисления производить с требуемой для каждого данного случая степенью точности;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ж) графики, диаграммы и схемы желательно выполнять карандашом на отдельном листе;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з) в заключение каждой задачи должен быть приведен краткий анализ полученных результатов и даны соответствующие выводы;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и) ответы на теоретические вопросы следует давать в развернутой форме с широким привлечением необходимых формул с пояснениями, графиков, диаграмм, рисунков и пр.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Контрольная работа должна быть выполнена грамотно и аккуратно, четким разборчивым почерком. 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На обложку тетради следует наклеить этикетку, на которой обязательно должны быть указаны название учебной дисциплины, фамилия, имя, отчество студента, номер (шифр) его учебной группы, номер варианта контрольной работы и дата представления ее в вуз.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По завершении работы следует поставить дату ее выполнению и свою разборчивую подпись.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В случае, если письменная работа не будет зачтена, студент обязан переработать ее согласно замечаниям рецензента и представить вновь в вуз.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Переписывать (пересчитывать) незачтенную контрольную работу (задачу) следует в той же тетради на ее чистых листах.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При защите контрольной работы преподавателем задаются уточняющие вопросы по задачам и теоретическим вопросам, чтобы убедиться в самостоятельном выполнении их студентом.</w:t>
      </w:r>
      <w:r/>
    </w:p>
    <w:p>
      <w:pPr>
        <w:pStyle w:val="884"/>
        <w:contextualSpacing/>
        <w:spacing w:before="0" w:after="0" w:line="276" w:lineRule="auto"/>
        <w:rPr>
          <w:b/>
        </w:rPr>
      </w:pPr>
      <w:r>
        <w:rPr>
          <w:b/>
        </w:rPr>
      </w:r>
      <w:r/>
    </w:p>
    <w:p>
      <w:pPr>
        <w:pStyle w:val="884"/>
        <w:numPr>
          <w:ilvl w:val="0"/>
          <w:numId w:val="7"/>
        </w:numPr>
        <w:contextualSpacing/>
        <w:jc w:val="center"/>
        <w:spacing w:before="0" w:after="0" w:line="276" w:lineRule="auto"/>
        <w:rPr>
          <w:b/>
        </w:rPr>
      </w:pPr>
      <w:r>
        <w:rPr>
          <w:b/>
        </w:rPr>
        <w:t xml:space="preserve">Формы промежуточного контроля</w:t>
      </w:r>
      <w:r/>
    </w:p>
    <w:p>
      <w:pPr>
        <w:contextualSpacing/>
        <w:ind w:left="720" w:firstLine="0"/>
        <w:jc w:val="center"/>
        <w:spacing w:before="0" w:after="0" w:line="276" w:lineRule="auto"/>
        <w:rPr>
          <w:b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pStyle w:val="884"/>
        <w:numPr>
          <w:ilvl w:val="0"/>
          <w:numId w:val="11"/>
        </w:numPr>
        <w:jc w:val="center"/>
        <w:spacing w:before="0" w:after="2" w:afterAutospacing="0" w:line="276" w:lineRule="auto"/>
        <w:rPr>
          <w:b/>
        </w:rPr>
      </w:pPr>
      <w:r>
        <w:rPr>
          <w:b/>
        </w:rPr>
        <w:t xml:space="preserve">Курсовой проект</w:t>
      </w:r>
      <w:r/>
    </w:p>
    <w:p>
      <w:pPr>
        <w:pStyle w:val="884"/>
        <w:ind w:firstLine="709"/>
        <w:jc w:val="both"/>
        <w:spacing w:line="276" w:lineRule="auto"/>
      </w:pPr>
      <w:r>
        <w:t xml:space="preserve">По учебному плану направления подготовки предусмотрено по дисциплине «ТЭС и АЭС» выполнение курсового проекта в 8 семестре.</w:t>
      </w:r>
      <w:r/>
    </w:p>
    <w:p>
      <w:pPr>
        <w:pStyle w:val="884"/>
        <w:ind w:firstLine="709"/>
        <w:jc w:val="both"/>
        <w:spacing w:line="276" w:lineRule="auto"/>
      </w:pPr>
      <w:r>
        <w:t xml:space="preserve">Курсовой проект «Расчет тепловой схемы и выбор оборудования теплоэлектроцентрали» состоит из пояснительной записки и графических материалов.</w:t>
      </w:r>
      <w:r/>
    </w:p>
    <w:p>
      <w:pPr>
        <w:pStyle w:val="884"/>
        <w:ind w:firstLine="709"/>
        <w:jc w:val="both"/>
        <w:spacing w:line="276" w:lineRule="auto"/>
      </w:pPr>
      <w:r>
        <w:t xml:space="preserve">В пояснительную записку должны войти: выбор источников топливоснабжения и водоснабжения для ТЭЦ, выбор основных агрегатов (кот</w:t>
      </w:r>
      <w:r>
        <w:t xml:space="preserve">лов и турбин) по заданной тепловой нагрузке электростанции, составление и расчет принципиальной тепловой схемы одной турбоустановки с определением параметров и расходов рабочего тела в узлах схемы, выбор вспомогательного теплотехнического оборудования ТЭЦ.</w:t>
      </w:r>
      <w:r/>
    </w:p>
    <w:p>
      <w:pPr>
        <w:pStyle w:val="884"/>
        <w:ind w:firstLine="709"/>
        <w:jc w:val="both"/>
        <w:spacing w:line="276" w:lineRule="auto"/>
      </w:pPr>
      <w:r>
        <w:t xml:space="preserve">Графическая часть проекта включает полную тепловую схему энергоблока (для блочной ТЭЦ) или всей электростанции (для неблочной ТЭЦ), поперечный разрез и план по отметкам главного корпуса ТЭЦ.</w:t>
      </w:r>
      <w:r/>
    </w:p>
    <w:p>
      <w:pPr>
        <w:pStyle w:val="884"/>
        <w:ind w:firstLine="709"/>
        <w:jc w:val="both"/>
        <w:spacing w:line="276" w:lineRule="auto"/>
      </w:pPr>
      <w:r>
        <w:t xml:space="preserve">Все чертежи выполняются на листах формата 24. При выполнении чертежей следует применять стандартные обозначения оборудования и линий основных потоков рабочего тела (пар, конденсат, питательная вода и пр.).</w:t>
      </w:r>
      <w:r/>
    </w:p>
    <w:p>
      <w:pPr>
        <w:pStyle w:val="884"/>
        <w:ind w:firstLine="709"/>
        <w:jc w:val="both"/>
        <w:spacing w:line="276" w:lineRule="auto"/>
      </w:pPr>
      <w:r>
        <w:t xml:space="preserve">Курсовой проект выполняется по 99 вариантам исходных данных. Студент выбирает соответствующий вариант по двум последним цифрам своего шифра.</w:t>
      </w:r>
      <w:r/>
    </w:p>
    <w:p>
      <w:pPr>
        <w:pStyle w:val="884"/>
        <w:ind w:firstLine="709"/>
        <w:jc w:val="both"/>
        <w:spacing w:line="276" w:lineRule="auto"/>
      </w:pPr>
      <w:r>
        <w:t xml:space="preserve">Итоговая оценка выполненного проекта определяется как средняя из трех оценок за качество: расчетной части, графической части и ответов при защите.</w:t>
      </w:r>
      <w:r/>
    </w:p>
    <w:p>
      <w:pPr>
        <w:pStyle w:val="884"/>
        <w:contextualSpacing/>
        <w:ind w:firstLine="709"/>
        <w:spacing w:before="0" w:after="0" w:line="276" w:lineRule="auto"/>
      </w:pPr>
      <w:r>
        <w:t xml:space="preserve">Методические указания к выполнению курсового проекта подготовлены кафедрой ТЭС отдельным изданием – </w:t>
      </w:r>
      <w:r>
        <w:rPr>
          <w:i/>
        </w:rPr>
        <w:t xml:space="preserve">Расчет тепловой схемы и выбор оборудования теплоэлектроцентрали. Курсовое проектирование: </w:t>
      </w:r>
      <w:r>
        <w:t xml:space="preserve">учебное пособие / С.С.Руденко, А.Г.Батухтин. – Чита: ЧитГУ, 2009. – 154 с.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/>
      <w:r/>
    </w:p>
    <w:p>
      <w:pPr>
        <w:pStyle w:val="884"/>
        <w:numPr>
          <w:ilvl w:val="0"/>
          <w:numId w:val="11"/>
        </w:numPr>
        <w:jc w:val="center"/>
        <w:spacing w:before="0" w:beforeAutospacing="0" w:after="2" w:afterAutospacing="0" w:line="276" w:lineRule="auto"/>
        <w:rPr>
          <w:b/>
        </w:rPr>
      </w:pPr>
      <w:r>
        <w:rPr>
          <w:b/>
        </w:rPr>
        <w:t xml:space="preserve">Зачет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Зачет по учебной дисциплине проводится в письменной форме. 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Студенты случайным образом получают по два вопроса из предлагаемого им списка вопросов.</w:t>
      </w:r>
      <w:r/>
    </w:p>
    <w:p>
      <w:pPr>
        <w:pStyle w:val="884"/>
        <w:contextualSpacing/>
        <w:ind w:firstLine="709"/>
        <w:spacing w:before="0" w:after="0" w:line="276" w:lineRule="auto"/>
        <w:rPr>
          <w:i/>
        </w:rPr>
      </w:pPr>
      <w:r>
        <w:rPr>
          <w:i/>
        </w:rPr>
        <w:t xml:space="preserve">Примерный перечень вопросов для подготовки к зачету: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Роль энергетики в народном хозяйстве страны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Современные проблемы развития энергетики и пути их разрешения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Энергетические ресурсы России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Нетрадиционные виды энергии и типы электростанций (СЭС, ПЭС, ВЭС, ГеоТЭС и др.)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Современное состояние энергетики России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Классификация тепловых электростанций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Общая характеристика и технологические схемы ТЭС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Общая характеристика и принципиальная схема промышленной ТЭЦ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Структура (цеховая, блочная) и организация управления электростанциями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Электрическое потребление. Графики электрических нагрузок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Раздельное и комбинированное энергопроизводство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Показатели экономичности конденсационных электростанций (КЭС)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Тепловая экономичность и энергетические показатели теплоэлектроцентралей (ТЭЦ).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Энергетические показатели атомных электростанций (АЭС)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Энергетические показатели ТЭЦ с газотурбинными и парогазовыми установками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Начальные параметры пара; их влияние на тепловую экономичность электростанций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Промежуточный перегрев пара; назначение, схемы, параметры, эффективность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Конечные параметры пара и их влияние на тепловую экономичность ТЭС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Встроенные теплофикационные пучки конденсаторов турбин: назначение, режимы работы и эффективность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Регенеративный подогрев питательной воды: расходы тепла и пара на турбину, КПД регенеративного цикла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Распределение подогрева питательной воды по ступеням; выбор параметров регенеративного подогрева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Типы регенеративных подогревателей и методы их теплового расчета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Схемы включения контактных (смешивающих) регенеративных подогревателей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Схемы включения поверхностных регенеративных подогревателей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Конструктивные схемы регенеративных подогревателей (схемы движения потоков воды, пара и конденсата)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Пароохладители и охладители дренажей: назначение, эффективность, схемы включения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Модернизация действующих электростанций: пристройка и надстройка. Экономическая эффективность модернизации электростанций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Потери пара и конденсата в тепловых схемах ТЭС, их влияние на КПД электростанций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Методы снижения и восполнения потерь в тепловых схемах ТЭС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Расширители непрерывной продувки котлов: назначение, эффективность, схемы включения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Испарительные установки: назначение, схемы включения, расчет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Многоступенчатые испарительные установки (с параллельным и последовательным питанием)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Испарительные установки “мгновенного” вскипания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Физические основы термической деаэрации на ТЭС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Типы и конструкции деаэраторных установок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Схемы включения и тепловой расчет деаэраторов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Барботажная деаэрация. Деаэрационные характеристики конденсаторов турбин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Вакуумные деаэраторы; деаэрация добавочной воды теплосети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Бездеаэраторные тепловые схемы ТЭС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Тепловое потребление. Графики тепловых нагрузок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Схемы подогрева сетевой воды на ТЭЦ и КЭС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Пиковые ступени подогревательных установок (пиковые водогрейные котлы, пиковые бойлера). Коэффициент теплофикации </w:t>
      </w:r>
      <w:r>
        <w:rPr>
          <w:rFonts w:ascii="Symbol" w:hAnsi="Symbol" w:cs="Symbol" w:eastAsia="Symbol"/>
        </w:rPr>
        <w:t xml:space="preserve"></w:t>
      </w:r>
      <w:r>
        <w:rPr>
          <w:vertAlign w:val="subscript"/>
        </w:rPr>
        <w:t xml:space="preserve">ТЭЦ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Схемы отпуска технологического пара от ТЭЦ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Редукционно-охладительные установки (РОУ): назначение, расчет, схемы включения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Системы возврата и очистки конденсата с производства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Принципиальные тепловые схемы ТЭС: назначение, состав, методы расчета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Принципиальные тепловые схемы АЭС</w:t>
      </w:r>
      <w:r/>
    </w:p>
    <w:p>
      <w:pPr>
        <w:pStyle w:val="884"/>
        <w:numPr>
          <w:ilvl w:val="0"/>
          <w:numId w:val="5"/>
        </w:numPr>
        <w:contextualSpacing/>
        <w:jc w:val="both"/>
        <w:spacing w:before="0" w:after="0" w:line="276" w:lineRule="auto"/>
      </w:pPr>
      <w:r>
        <w:t xml:space="preserve">Тепловые схемы парогазовых установок ТЭС и особенности их расчета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/>
      <w:r/>
    </w:p>
    <w:p>
      <w:pPr>
        <w:pStyle w:val="884"/>
        <w:numPr>
          <w:ilvl w:val="0"/>
          <w:numId w:val="11"/>
        </w:numPr>
        <w:jc w:val="center"/>
        <w:spacing w:before="0" w:after="2" w:afterAutospacing="0" w:line="276" w:lineRule="auto"/>
        <w:rPr>
          <w:b/>
        </w:rPr>
      </w:pPr>
      <w:r>
        <w:rPr>
          <w:b/>
        </w:rPr>
        <w:t xml:space="preserve">Экзамен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Экзамен по учебной дисциплине проводится в письменной форме.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t xml:space="preserve">В экзаменационных билетах содержится по два теоретических вопроса, касающихся тем второй части дисциплины, и одна равноценная практическая задача.</w:t>
      </w:r>
      <w:r/>
    </w:p>
    <w:p>
      <w:pPr>
        <w:pStyle w:val="884"/>
        <w:ind w:firstLine="709"/>
        <w:jc w:val="both"/>
        <w:spacing w:line="276" w:lineRule="auto"/>
      </w:pPr>
      <w:r>
        <w:rPr>
          <w:i/>
        </w:rPr>
        <w:t xml:space="preserve">Перечень примерных вопросов для подготовки к экзамену</w:t>
      </w:r>
      <w:r>
        <w:t xml:space="preserve">: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Энергетическая политика России в новых экономических условиях</w:t>
      </w:r>
      <w:r/>
    </w:p>
    <w:p>
      <w:pPr>
        <w:pStyle w:val="972"/>
        <w:numPr>
          <w:ilvl w:val="0"/>
          <w:numId w:val="12"/>
        </w:numPr>
        <w:contextualSpacing/>
        <w:ind w:left="709" w:hanging="283"/>
        <w:jc w:val="both"/>
        <w:spacing w:before="0" w:after="0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и роль тепловых электростанций в энергетике России</w:t>
      </w:r>
      <w:r/>
    </w:p>
    <w:p>
      <w:pPr>
        <w:pStyle w:val="972"/>
        <w:numPr>
          <w:ilvl w:val="0"/>
          <w:numId w:val="12"/>
        </w:numPr>
        <w:contextualSpacing/>
        <w:ind w:left="709" w:hanging="283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и роль атомных электростанций в энергетике России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и характеристика тепловых электростанций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Типы и характеристики атомных электростанций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состав принципиальных тепловых схем ТЭС</w:t>
      </w:r>
      <w:r/>
    </w:p>
    <w:p>
      <w:pPr>
        <w:pStyle w:val="972"/>
        <w:numPr>
          <w:ilvl w:val="0"/>
          <w:numId w:val="12"/>
        </w:numPr>
        <w:contextualSpacing/>
        <w:ind w:left="709" w:hanging="283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принципиальных тепловых схем теплоэлектроцентралей (ТЭЦ)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принципиальных тепловых схем атомных электростанций</w:t>
      </w:r>
      <w:r/>
    </w:p>
    <w:p>
      <w:pPr>
        <w:pStyle w:val="972"/>
        <w:numPr>
          <w:ilvl w:val="0"/>
          <w:numId w:val="12"/>
        </w:numPr>
        <w:contextualSpacing/>
        <w:ind w:left="709" w:hanging="283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расчет принципиальной тепловой схемы конденсационной электростанции (ГРЭС)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теплового расчета отдельных элементов принципиальной тепловой схемы ТЭС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расчет принципиальной тепловой схемы теплоэлектроцентрали (ТЭЦ)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энергетических показателей паротурбинных установок и электростанций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Балансы пара и питательной воды в тепловых схемах ТЭС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расширения существующих ТЭС. Эффективность их расширения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Принципиальные схемы пристроек. Определение тепловой экономичности расширяемых ТЭС при их пристройке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Принципиальные схемы надстроек. Определение тепловой экономичности расширяемых ТЭС при их надстройке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Модернизация устаревшего оборудования тепловых электростанций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и требования выбора основного оборудования ТЭС и АЭС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и требования выбора вспомогательного и общестанционного оборудования ТЭС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Полные (развернутые) тепловые схемы электростанций: назначение и состав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Полные (развернутые) тепловые схемы включения регенеративных подогревателей ТЭС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Полные (развернутые) тепловые схемы включения питательных установок ТЭС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Полная (развернутая) тепловая схема включения деаэраторных установок ТЭС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Полные (развернутые) тепловые схемы включения конденсационных установок ТЭС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и элементы безопасности и безаварийности в полных тепловых схемах ТЭС и АЭС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и характеристика компоновок ТЭС</w:t>
      </w:r>
      <w:r/>
    </w:p>
    <w:p>
      <w:pPr>
        <w:pStyle w:val="972"/>
        <w:numPr>
          <w:ilvl w:val="0"/>
          <w:numId w:val="12"/>
        </w:numPr>
        <w:contextualSpacing/>
        <w:ind w:left="993" w:hanging="567"/>
        <w:spacing w:before="0" w:after="0"/>
        <w:tabs>
          <w:tab w:val="left" w:pos="426" w:leader="none"/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и характеристика компоновок ТЭС и АЭС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Компоновка оборудования турбинных цехов ТЭС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Компоновка оборудования котельных цехов ТЭС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Технико-экономические требования к компоновке главного корпуса тепловой электростанции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компоновки главного корпуса АЭС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типовые компоновки главного корпуса теплоэлектроцентралей (ТЭЦ-ЗИТТ, ТЭЦ-ЗИГМ). Технико-экономические показатели компоновок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требования, предъявляемые к генплану ТЭС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генплана ТЭЦ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генплана конденсационной электростанции (ГРЭС)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схем топливо- и водоснабжения на генплан ТЭС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Технико-экономические показатели генплана ТЭС. Факторы, влияющие на эти показатели</w:t>
      </w:r>
      <w:r/>
    </w:p>
    <w:p>
      <w:pPr>
        <w:pStyle w:val="972"/>
        <w:numPr>
          <w:ilvl w:val="0"/>
          <w:numId w:val="12"/>
        </w:numPr>
        <w:contextualSpacing/>
        <w:ind w:left="709" w:hanging="283"/>
        <w:spacing w:before="0" w:after="0"/>
        <w:tabs>
          <w:tab w:val="left" w:pos="426" w:leader="none"/>
          <w:tab w:val="clear" w:pos="708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места строительства и мощности ТЭС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требования, предъявляемые к площадке строительства ТЭС и АЭС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эксплуатации электростанций. Эксплуатационные показатели ТЭС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развития мировой теплоэнергетики. Перспективные типы ТЭС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Перспективные газотурбинные электростанции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Перспективные парогазовые электростанции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Перспективные электростанции с магнитогидродинамическими установками (МГДУ)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развития атомной энергетики. Перспективные типы АЭС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jc w:val="both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Энергетика Забайкалья: история развития</w:t>
      </w:r>
      <w:r/>
    </w:p>
    <w:p>
      <w:pPr>
        <w:pStyle w:val="972"/>
        <w:numPr>
          <w:ilvl w:val="0"/>
          <w:numId w:val="12"/>
        </w:numPr>
        <w:contextualSpacing/>
        <w:ind w:left="426" w:firstLine="0"/>
        <w:spacing w:before="0" w:after="0"/>
        <w:tabs>
          <w:tab w:val="left" w:pos="426" w:leader="none"/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Энергетика Забайкалья: современное состояние</w:t>
      </w:r>
      <w:r/>
    </w:p>
    <w:p>
      <w:pPr>
        <w:pStyle w:val="972"/>
        <w:numPr>
          <w:ilvl w:val="0"/>
          <w:numId w:val="12"/>
        </w:numPr>
        <w:contextualSpacing/>
        <w:ind w:left="851" w:hanging="425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Теплотехническое оборудование электростанций территориальной генерирующей компании ТГК-14</w:t>
      </w:r>
      <w:r/>
    </w:p>
    <w:p>
      <w:pPr>
        <w:pStyle w:val="972"/>
        <w:contextualSpacing/>
        <w:ind w:left="426" w:firstLine="0"/>
        <w:spacing w:before="0" w:after="0"/>
        <w:tabs>
          <w:tab w:val="clear" w:pos="708" w:leader="none"/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4"/>
        <w:contextualSpacing/>
        <w:ind w:firstLine="709"/>
        <w:jc w:val="both"/>
        <w:spacing w:before="0" w:after="0" w:line="276" w:lineRule="auto"/>
        <w:rPr>
          <w:rFonts w:eastAsia="TimesNewRoman;Arial Unicode MS"/>
        </w:rPr>
      </w:pPr>
      <w:r>
        <w:rPr>
          <w:rFonts w:eastAsia="TimesNewRoman;Arial Unicode MS"/>
        </w:rPr>
        <w:t xml:space="preserve">Знания и умения студентов на экзамене оцениваются по четырехбалльной шкале.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rPr>
          <w:rFonts w:eastAsia="TimesNewRoman;Arial Unicode MS"/>
        </w:rPr>
        <w:t xml:space="preserve">Оценка </w:t>
      </w:r>
      <w:r>
        <w:rPr>
          <w:rFonts w:eastAsia="TimesNewRoman;Arial Unicode MS"/>
          <w:i/>
          <w:iCs/>
        </w:rPr>
        <w:t xml:space="preserve">«отлично» </w:t>
      </w:r>
      <w:r>
        <w:rPr>
          <w:rFonts w:eastAsia="TimesNewRoman;Arial Unicode MS"/>
          <w:iCs/>
        </w:rPr>
        <w:t xml:space="preserve">вы</w:t>
      </w:r>
      <w:r>
        <w:rPr>
          <w:rFonts w:eastAsia="TimesNewRoman;Arial Unicode MS"/>
        </w:rPr>
        <w:t xml:space="preserve">ставляется студенту в случае правильных и полных (глубоких) ответов на оба теоретических вопроса билета и правильного решения практической задачи.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rPr>
          <w:rFonts w:eastAsia="TimesNewRoman;Arial Unicode MS"/>
        </w:rPr>
        <w:t xml:space="preserve">Оценка </w:t>
      </w:r>
      <w:r>
        <w:rPr>
          <w:rFonts w:eastAsia="TimesNewRoman;Arial Unicode MS"/>
          <w:i/>
          <w:iCs/>
        </w:rPr>
        <w:t xml:space="preserve">«хорошо» </w:t>
      </w:r>
      <w:r>
        <w:rPr>
          <w:rFonts w:eastAsia="TimesNewRoman;Arial Unicode MS"/>
          <w:iCs/>
        </w:rPr>
        <w:t xml:space="preserve">может вы</w:t>
      </w:r>
      <w:r>
        <w:rPr>
          <w:rFonts w:eastAsia="TimesNewRoman;Arial Unicode MS"/>
        </w:rPr>
        <w:t xml:space="preserve">ставляться студенту в следующих случаях:</w:t>
      </w:r>
      <w:r/>
    </w:p>
    <w:p>
      <w:pPr>
        <w:pStyle w:val="884"/>
        <w:numPr>
          <w:ilvl w:val="0"/>
          <w:numId w:val="8"/>
        </w:numPr>
        <w:contextualSpacing/>
        <w:ind w:left="0" w:firstLine="720"/>
        <w:jc w:val="both"/>
        <w:spacing w:before="0" w:after="0" w:line="276" w:lineRule="auto"/>
        <w:rPr>
          <w:rFonts w:eastAsia="TimesNewRoman;Arial Unicode MS"/>
        </w:rPr>
      </w:pPr>
      <w:r>
        <w:rPr>
          <w:rFonts w:eastAsia="TimesNewRoman;Arial Unicode MS"/>
        </w:rPr>
        <w:t xml:space="preserve">при правильном, но неполном ответе на один из теоретических вопросов билета, или ответе, содержащем ошибки непринципиального характера, а также при правильном решении задачи;</w:t>
      </w:r>
      <w:r/>
    </w:p>
    <w:p>
      <w:pPr>
        <w:pStyle w:val="884"/>
        <w:numPr>
          <w:ilvl w:val="0"/>
          <w:numId w:val="8"/>
        </w:numPr>
        <w:contextualSpacing/>
        <w:ind w:left="0" w:firstLine="709"/>
        <w:jc w:val="both"/>
        <w:spacing w:before="0" w:after="0" w:line="276" w:lineRule="auto"/>
        <w:tabs>
          <w:tab w:val="clear" w:pos="708" w:leader="none"/>
          <w:tab w:val="left" w:pos="1134" w:leader="none"/>
        </w:tabs>
        <w:rPr>
          <w:rFonts w:eastAsia="TimesNewRoman;Arial Unicode MS"/>
        </w:rPr>
      </w:pPr>
      <w:r>
        <w:rPr>
          <w:rFonts w:eastAsia="TimesNewRoman;Arial Unicode MS"/>
        </w:rPr>
        <w:t xml:space="preserve">при правильных и полных ответах на оба теоретических вопроса билета, но с ошибками непринципиального характера в решении практической задачи. 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rPr>
          <w:rFonts w:eastAsia="TimesNewRoman;Arial Unicode MS"/>
        </w:rPr>
        <w:t xml:space="preserve">Оценка </w:t>
      </w:r>
      <w:r>
        <w:rPr>
          <w:rFonts w:eastAsia="TimesNewRoman;Arial Unicode MS"/>
          <w:i/>
          <w:iCs/>
        </w:rPr>
        <w:t xml:space="preserve">«удовлетворительно» </w:t>
      </w:r>
      <w:r>
        <w:rPr>
          <w:rFonts w:eastAsia="TimesNewRoman;Arial Unicode MS"/>
        </w:rPr>
        <w:t xml:space="preserve">ставится в случаях:</w:t>
      </w:r>
      <w:r/>
    </w:p>
    <w:p>
      <w:pPr>
        <w:pStyle w:val="884"/>
        <w:numPr>
          <w:ilvl w:val="0"/>
          <w:numId w:val="6"/>
        </w:numPr>
        <w:contextualSpacing/>
        <w:ind w:left="0" w:firstLine="709"/>
        <w:jc w:val="both"/>
        <w:spacing w:before="0" w:after="0" w:line="276" w:lineRule="auto"/>
        <w:tabs>
          <w:tab w:val="clear" w:pos="708" w:leader="none"/>
          <w:tab w:val="left" w:pos="1134" w:leader="none"/>
        </w:tabs>
        <w:rPr>
          <w:rFonts w:eastAsia="TimesNewRoman;Arial Unicode MS"/>
        </w:rPr>
      </w:pPr>
      <w:r>
        <w:rPr>
          <w:rFonts w:eastAsia="TimesNewRoman;Arial Unicode MS"/>
        </w:rPr>
        <w:t xml:space="preserve">ответов, содержащих ошибки принципиального характера на теоретические вопросы билета; и правильном решении задачи;</w:t>
      </w:r>
      <w:r/>
    </w:p>
    <w:p>
      <w:pPr>
        <w:pStyle w:val="884"/>
        <w:numPr>
          <w:ilvl w:val="0"/>
          <w:numId w:val="13"/>
        </w:numPr>
        <w:contextualSpacing/>
        <w:ind w:left="0" w:firstLine="709"/>
        <w:jc w:val="both"/>
        <w:spacing w:before="0" w:after="0" w:line="276" w:lineRule="auto"/>
        <w:tabs>
          <w:tab w:val="clear" w:pos="708" w:leader="none"/>
          <w:tab w:val="left" w:pos="1134" w:leader="none"/>
        </w:tabs>
      </w:pPr>
      <w:r>
        <w:rPr>
          <w:rFonts w:eastAsia="TimesNewRoman;Arial Unicode MS"/>
        </w:rPr>
        <w:t xml:space="preserve">неверного ответа (отсутствия ответа) на один из теоретических вопросов билета и правильного решения задачи;</w:t>
      </w:r>
      <w:r/>
    </w:p>
    <w:p>
      <w:pPr>
        <w:pStyle w:val="884"/>
        <w:numPr>
          <w:ilvl w:val="0"/>
          <w:numId w:val="2"/>
        </w:numPr>
        <w:contextualSpacing/>
        <w:ind w:left="0" w:firstLine="709"/>
        <w:jc w:val="both"/>
        <w:spacing w:before="0" w:after="0" w:line="276" w:lineRule="auto"/>
        <w:tabs>
          <w:tab w:val="clear" w:pos="708" w:leader="none"/>
          <w:tab w:val="left" w:pos="1134" w:leader="none"/>
        </w:tabs>
        <w:rPr>
          <w:rFonts w:eastAsia="TimesNewRoman;Arial Unicode MS"/>
        </w:rPr>
      </w:pPr>
      <w:r>
        <w:rPr>
          <w:rFonts w:eastAsia="TimesNewRoman;Arial Unicode MS"/>
        </w:rPr>
        <w:t xml:space="preserve">правильных и полных ответов на оба теоретических вопроса билета, но неверного решения задачи.</w:t>
      </w:r>
      <w:r/>
    </w:p>
    <w:p>
      <w:pPr>
        <w:pStyle w:val="884"/>
        <w:contextualSpacing/>
        <w:ind w:firstLine="709"/>
        <w:jc w:val="both"/>
        <w:spacing w:before="0" w:after="0" w:line="276" w:lineRule="auto"/>
      </w:pPr>
      <w:r>
        <w:rPr>
          <w:rFonts w:eastAsia="TimesNewRoman;Arial Unicode MS"/>
        </w:rPr>
        <w:t xml:space="preserve">Оценка </w:t>
      </w:r>
      <w:r>
        <w:rPr>
          <w:rFonts w:eastAsia="TimesNewRoman;Arial Unicode MS"/>
          <w:i/>
          <w:iCs/>
        </w:rPr>
        <w:t xml:space="preserve">«неудовлетворительно» </w:t>
      </w:r>
      <w:r>
        <w:rPr>
          <w:rFonts w:eastAsia="TimesNewRoman;Arial Unicode MS"/>
          <w:iCs/>
        </w:rPr>
        <w:t xml:space="preserve">может выставляться студенту </w:t>
      </w:r>
      <w:r>
        <w:rPr>
          <w:rFonts w:eastAsia="TimesNewRoman;Arial Unicode MS"/>
        </w:rPr>
        <w:t xml:space="preserve">в случаях:</w:t>
      </w:r>
      <w:r/>
    </w:p>
    <w:p>
      <w:pPr>
        <w:pStyle w:val="884"/>
        <w:numPr>
          <w:ilvl w:val="0"/>
          <w:numId w:val="9"/>
        </w:numPr>
        <w:contextualSpacing/>
        <w:ind w:left="0" w:firstLine="709"/>
        <w:jc w:val="both"/>
        <w:spacing w:before="0" w:after="0" w:line="276" w:lineRule="auto"/>
        <w:tabs>
          <w:tab w:val="clear" w:pos="708" w:leader="none"/>
          <w:tab w:val="left" w:pos="1134" w:leader="none"/>
        </w:tabs>
        <w:rPr>
          <w:rFonts w:eastAsia="TimesNewRoman;Arial Unicode MS"/>
        </w:rPr>
      </w:pPr>
      <w:r>
        <w:rPr>
          <w:rFonts w:eastAsia="TimesNewRoman;Arial Unicode MS"/>
        </w:rPr>
        <w:t xml:space="preserve">неверных ответов (отсутствия ответов) на оба теоретических вопроса билета;</w:t>
      </w:r>
      <w:r/>
    </w:p>
    <w:p>
      <w:pPr>
        <w:pStyle w:val="884"/>
        <w:numPr>
          <w:ilvl w:val="0"/>
          <w:numId w:val="1"/>
        </w:numPr>
        <w:contextualSpacing/>
        <w:ind w:left="0" w:firstLine="709"/>
        <w:jc w:val="both"/>
        <w:spacing w:before="0" w:after="0" w:line="276" w:lineRule="auto"/>
        <w:tabs>
          <w:tab w:val="clear" w:pos="708" w:leader="none"/>
          <w:tab w:val="left" w:pos="1134" w:leader="none"/>
        </w:tabs>
        <w:rPr>
          <w:rFonts w:eastAsia="TimesNewRoman;Arial Unicode MS"/>
        </w:rPr>
      </w:pPr>
      <w:r>
        <w:rPr>
          <w:rFonts w:eastAsia="TimesNewRoman;Arial Unicode MS"/>
        </w:rPr>
        <w:t xml:space="preserve">неверного ответа (отсутствия ответов) на один из теоретических вопросов билета и неверного решения практической задачи.</w:t>
      </w:r>
      <w:r/>
    </w:p>
    <w:p>
      <w:pPr>
        <w:pStyle w:val="884"/>
        <w:contextualSpacing/>
        <w:ind w:right="-284" w:hanging="426"/>
        <w:jc w:val="center"/>
        <w:spacing w:before="0" w:after="0" w:line="276" w:lineRule="auto"/>
        <w:rPr>
          <w:b/>
        </w:rPr>
      </w:pPr>
      <w:r>
        <w:rPr>
          <w:b/>
        </w:rPr>
      </w:r>
      <w:r/>
    </w:p>
    <w:p>
      <w:pPr>
        <w:pStyle w:val="884"/>
        <w:numPr>
          <w:ilvl w:val="0"/>
          <w:numId w:val="7"/>
        </w:numPr>
        <w:contextualSpacing/>
        <w:jc w:val="center"/>
        <w:spacing w:before="0" w:after="0" w:line="276" w:lineRule="auto"/>
        <w:rPr>
          <w:b/>
        </w:rPr>
      </w:pPr>
      <w:r>
        <w:rPr>
          <w:b/>
        </w:rPr>
        <w:t xml:space="preserve">Учебно-методическое и информационное обеспечение дисциплины</w:t>
      </w:r>
      <w:r/>
    </w:p>
    <w:p>
      <w:pPr>
        <w:pStyle w:val="972"/>
        <w:numPr>
          <w:ilvl w:val="0"/>
          <w:numId w:val="4"/>
        </w:numPr>
        <w:contextualSpacing/>
        <w:jc w:val="center"/>
        <w:spacing w:before="0" w:after="0"/>
        <w:tabs>
          <w:tab w:val="left" w:pos="426" w:leader="none"/>
          <w:tab w:val="clear" w:pos="708" w:leader="none"/>
        </w:tabs>
        <w:outlineLvl w:val="1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</w:t>
      </w:r>
      <w:r/>
    </w:p>
    <w:p>
      <w:pPr>
        <w:pStyle w:val="884"/>
        <w:numPr>
          <w:ilvl w:val="0"/>
          <w:numId w:val="3"/>
        </w:numPr>
        <w:contextualSpacing/>
        <w:spacing w:before="0" w:after="0" w:line="276" w:lineRule="auto"/>
      </w:pPr>
      <w:r>
        <w:t xml:space="preserve">Буров В.Д. Тепловые электрические станции: учебник для вузов / В.Д.Буров </w:t>
      </w:r>
      <w:r>
        <w:rPr>
          <w:rFonts w:ascii="Symbol" w:hAnsi="Symbol" w:cs="Symbol" w:eastAsia="Symbol"/>
        </w:rPr>
        <w:t xml:space="preserve">[</w:t>
      </w:r>
      <w:r>
        <w:t xml:space="preserve">и др.</w:t>
      </w:r>
      <w:r>
        <w:rPr>
          <w:rFonts w:ascii="Symbol" w:hAnsi="Symbol" w:cs="Symbol" w:eastAsia="Symbol"/>
        </w:rPr>
        <w:t xml:space="preserve">]</w:t>
      </w:r>
      <w:r>
        <w:t xml:space="preserve"> /под ред. В.М.Лавыгина, А.С.Седлова, С.В.Цанева. – М.: Изд. МЭИ, 2009. – 466 с.</w:t>
      </w:r>
      <w:r/>
    </w:p>
    <w:p>
      <w:pPr>
        <w:pStyle w:val="884"/>
        <w:numPr>
          <w:ilvl w:val="0"/>
          <w:numId w:val="3"/>
        </w:numPr>
        <w:contextualSpacing/>
        <w:spacing w:before="0" w:after="0" w:line="276" w:lineRule="auto"/>
      </w:pPr>
      <w:r>
        <w:t xml:space="preserve">Буров В.Д. Тепловые электрические станции: учебник для вузов / В.Д.Буров </w:t>
      </w:r>
      <w:r>
        <w:rPr>
          <w:rFonts w:ascii="Symbol" w:hAnsi="Symbol" w:cs="Symbol" w:eastAsia="Symbol"/>
        </w:rPr>
        <w:t xml:space="preserve">[</w:t>
      </w:r>
      <w:r>
        <w:t xml:space="preserve">и др.</w:t>
      </w:r>
      <w:r>
        <w:rPr>
          <w:rFonts w:ascii="Symbol" w:hAnsi="Symbol" w:cs="Symbol" w:eastAsia="Symbol"/>
        </w:rPr>
        <w:t xml:space="preserve">]</w:t>
      </w:r>
      <w:r>
        <w:t xml:space="preserve"> /под ред. В.М.Лавыгина, А.С.Седлова, С.В.Цанева. – М.: Изд. МЭИ, 2005. – 454 с.</w:t>
      </w:r>
      <w:r/>
    </w:p>
    <w:p>
      <w:pPr>
        <w:pStyle w:val="884"/>
        <w:numPr>
          <w:ilvl w:val="0"/>
          <w:numId w:val="3"/>
        </w:numPr>
        <w:contextualSpacing/>
        <w:spacing w:before="0" w:after="0" w:line="276" w:lineRule="auto"/>
      </w:pPr>
      <w:r>
        <w:t xml:space="preserve">Алхутов М.С. Справочник по ТЭС и АЭС / М.С.Алхутов </w:t>
      </w:r>
      <w:r>
        <w:rPr>
          <w:rFonts w:ascii="Symbol" w:hAnsi="Symbol" w:cs="Symbol" w:eastAsia="Symbol"/>
        </w:rPr>
        <w:t xml:space="preserve">[</w:t>
      </w:r>
      <w:r>
        <w:t xml:space="preserve">и др.</w:t>
      </w:r>
      <w:r>
        <w:rPr>
          <w:rFonts w:ascii="Symbol" w:hAnsi="Symbol" w:cs="Symbol" w:eastAsia="Symbol"/>
        </w:rPr>
        <w:t xml:space="preserve">]</w:t>
      </w:r>
      <w:r>
        <w:t xml:space="preserve"> / под общ. ред. А.В.Клименко, В.М.Зорина. – М.: Изд. МЭИ, 2003. – 648 с.</w:t>
      </w:r>
      <w:r/>
    </w:p>
    <w:p>
      <w:pPr>
        <w:pStyle w:val="884"/>
        <w:numPr>
          <w:ilvl w:val="0"/>
          <w:numId w:val="3"/>
        </w:numPr>
        <w:contextualSpacing/>
        <w:spacing w:before="0" w:after="0" w:line="276" w:lineRule="auto"/>
      </w:pPr>
      <w:r>
        <w:t xml:space="preserve">Цанев С.В., Буров В.Д., Ремизов А.Н. Газотурбинные и парогазовые установки тепловых электростанций: учебное пособие для вузов/под ред. С.В.Цанева – М.: Изд. дом МЭИ, 2006. – 584 с.</w:t>
      </w:r>
      <w:r/>
    </w:p>
    <w:p>
      <w:pPr>
        <w:pStyle w:val="884"/>
        <w:numPr>
          <w:ilvl w:val="0"/>
          <w:numId w:val="3"/>
        </w:numPr>
        <w:contextualSpacing/>
        <w:spacing w:before="0" w:after="0" w:line="276" w:lineRule="auto"/>
      </w:pPr>
      <w:r>
        <w:t xml:space="preserve">Щепетильников М.И., Хлопушин В.И. Сборник задач по курсу ТЭС. - М.: Энергоатомиздат. 1983. – 176 с.</w:t>
      </w:r>
      <w:r/>
    </w:p>
    <w:p>
      <w:pPr>
        <w:pStyle w:val="972"/>
        <w:numPr>
          <w:ilvl w:val="0"/>
          <w:numId w:val="0"/>
        </w:numPr>
        <w:contextualSpacing/>
        <w:ind w:left="709" w:firstLine="0"/>
        <w:spacing w:before="0" w:after="0"/>
        <w:tabs>
          <w:tab w:val="left" w:pos="426" w:leader="none"/>
          <w:tab w:val="clear" w:pos="708" w:leader="none"/>
        </w:tabs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72"/>
        <w:numPr>
          <w:ilvl w:val="0"/>
          <w:numId w:val="0"/>
        </w:numPr>
        <w:contextualSpacing/>
        <w:ind w:left="709" w:firstLine="0"/>
        <w:spacing w:before="0" w:after="0"/>
        <w:tabs>
          <w:tab w:val="left" w:pos="426" w:leader="none"/>
          <w:tab w:val="clear" w:pos="708" w:leader="none"/>
        </w:tabs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72"/>
        <w:numPr>
          <w:ilvl w:val="0"/>
          <w:numId w:val="4"/>
        </w:numPr>
        <w:contextualSpacing/>
        <w:jc w:val="center"/>
        <w:spacing w:before="0" w:after="0"/>
        <w:tabs>
          <w:tab w:val="left" w:pos="426" w:leader="none"/>
          <w:tab w:val="clear" w:pos="708" w:leader="none"/>
        </w:tabs>
        <w:outlineLvl w:val="1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</w:t>
      </w:r>
      <w:r/>
    </w:p>
    <w:p>
      <w:pPr>
        <w:pStyle w:val="884"/>
        <w:numPr>
          <w:ilvl w:val="0"/>
          <w:numId w:val="3"/>
        </w:numPr>
        <w:contextualSpacing/>
        <w:ind w:left="357" w:hanging="357"/>
        <w:spacing w:before="0" w:after="0" w:line="276" w:lineRule="auto"/>
      </w:pPr>
      <w:r>
        <w:t xml:space="preserve">Стерман Л.С., Лавыгин В.М., Тишин С.Г. Тепловые и атомные электрические станции: учебник для вузов. – М.: Энергоатомиздат, 1995. – 416 с.</w:t>
      </w:r>
      <w:r/>
    </w:p>
    <w:p>
      <w:pPr>
        <w:pStyle w:val="884"/>
        <w:numPr>
          <w:ilvl w:val="0"/>
          <w:numId w:val="3"/>
        </w:numPr>
        <w:contextualSpacing/>
        <w:ind w:left="357" w:hanging="357"/>
        <w:spacing w:before="0" w:after="0" w:line="276" w:lineRule="auto"/>
      </w:pPr>
      <w:r>
        <w:t xml:space="preserve">Рыжкин В.Я. Тепловые электрические станции: учебник для вузов. – М.: Энергия, 1987. – 328 с.</w:t>
      </w:r>
      <w:r/>
    </w:p>
    <w:p>
      <w:pPr>
        <w:pStyle w:val="884"/>
        <w:numPr>
          <w:ilvl w:val="0"/>
          <w:numId w:val="3"/>
        </w:numPr>
        <w:contextualSpacing/>
        <w:ind w:left="357" w:hanging="357"/>
        <w:spacing w:before="0" w:after="0" w:line="276" w:lineRule="auto"/>
      </w:pPr>
      <w:r>
        <w:t xml:space="preserve">Назмеев Ю.Г. Системы золоудаления ТЭС: учебник для вузов / Ю.Г.Назмеев. – М.: Изд. МЭИ, 2002. – 572 с.</w:t>
      </w:r>
      <w:r/>
    </w:p>
    <w:p>
      <w:pPr>
        <w:pStyle w:val="884"/>
        <w:numPr>
          <w:ilvl w:val="0"/>
          <w:numId w:val="3"/>
        </w:numPr>
        <w:contextualSpacing/>
        <w:ind w:left="357" w:hanging="357"/>
        <w:spacing w:before="0" w:after="0" w:line="276" w:lineRule="auto"/>
      </w:pPr>
      <w:r>
        <w:t xml:space="preserve">Баженов М.И., Богородский А.С. Сборник задач по курсу Промышленные тепловые электростанции. – М.: Энергоатомиздат, 1990. – 128 с.</w:t>
      </w:r>
      <w:r/>
    </w:p>
    <w:p>
      <w:pPr>
        <w:pStyle w:val="884"/>
        <w:numPr>
          <w:ilvl w:val="0"/>
          <w:numId w:val="3"/>
        </w:numPr>
        <w:contextualSpacing/>
        <w:ind w:left="357" w:hanging="357"/>
        <w:spacing w:before="0" w:after="0" w:line="276" w:lineRule="auto"/>
      </w:pPr>
      <w:r>
        <w:t xml:space="preserve">Нормы технологического проектирования тепловых электрических станций и тепловых сетей (ВНТП – 81). – М.: Изд. МОТЭП, 1981. – 121 с.</w:t>
      </w:r>
      <w:r/>
    </w:p>
    <w:p>
      <w:pPr>
        <w:pStyle w:val="972"/>
        <w:numPr>
          <w:ilvl w:val="0"/>
          <w:numId w:val="0"/>
        </w:numPr>
        <w:contextualSpacing/>
        <w:ind w:left="0" w:firstLine="709"/>
        <w:spacing w:before="0" w:after="240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72"/>
        <w:numPr>
          <w:ilvl w:val="0"/>
          <w:numId w:val="4"/>
        </w:numPr>
        <w:contextualSpacing/>
        <w:jc w:val="center"/>
        <w:spacing w:before="0" w:after="0"/>
        <w:tabs>
          <w:tab w:val="left" w:pos="426" w:leader="none"/>
          <w:tab w:val="clear" w:pos="708" w:leader="none"/>
        </w:tabs>
        <w:outlineLvl w:val="1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Кафедральные учебные пособия</w:t>
      </w:r>
      <w:r/>
    </w:p>
    <w:p>
      <w:pPr>
        <w:pStyle w:val="884"/>
        <w:numPr>
          <w:ilvl w:val="0"/>
          <w:numId w:val="3"/>
        </w:numPr>
        <w:contextualSpacing/>
        <w:spacing w:before="0" w:after="0" w:line="276" w:lineRule="auto"/>
      </w:pPr>
      <w:r>
        <w:t xml:space="preserve">Расчет тепловой схемы и выбор оборудования теплоэлектроцентрали. Курсовое проектирование: учебное пособие / С.С.Руденко, А.Г.Батухтин. – Чита: ЧитГУ, 2009. – 154 с.</w:t>
      </w:r>
      <w:r/>
    </w:p>
    <w:p>
      <w:pPr>
        <w:pStyle w:val="884"/>
        <w:numPr>
          <w:ilvl w:val="0"/>
          <w:numId w:val="3"/>
        </w:numPr>
        <w:contextualSpacing/>
        <w:ind w:left="357" w:hanging="357"/>
        <w:spacing w:before="0" w:after="0" w:line="276" w:lineRule="auto"/>
      </w:pPr>
      <w:r>
        <w:t xml:space="preserve">Нетрадиционные и возобновляемые источники энергии: учебное пособие / С.А.Требунских, С.А.Иванов, М.А.Ахмылова. – Чита: ЧитГУ, 2009. – 247 с.</w:t>
      </w:r>
      <w:r/>
    </w:p>
    <w:p>
      <w:pPr>
        <w:pStyle w:val="884"/>
        <w:numPr>
          <w:ilvl w:val="0"/>
          <w:numId w:val="3"/>
        </w:numPr>
        <w:contextualSpacing/>
        <w:ind w:left="357" w:hanging="357"/>
        <w:spacing w:before="0" w:after="0" w:line="276" w:lineRule="auto"/>
      </w:pPr>
      <w:r>
        <w:t xml:space="preserve">Энергосбережение в теплоэнергетике и теплотехнологиях: учебное пособие / А.А.Середкин, М.С.Басс. – Чита: ЧитГУ, 2010. – 143 с.</w:t>
      </w:r>
      <w:r/>
    </w:p>
    <w:p>
      <w:pPr>
        <w:pStyle w:val="972"/>
        <w:contextualSpacing/>
        <w:ind w:left="0" w:firstLine="0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72"/>
        <w:numPr>
          <w:ilvl w:val="0"/>
          <w:numId w:val="4"/>
        </w:numPr>
        <w:contextualSpacing/>
        <w:jc w:val="center"/>
        <w:spacing w:before="0" w:after="0"/>
        <w:tabs>
          <w:tab w:val="left" w:pos="426" w:leader="none"/>
          <w:tab w:val="clear" w:pos="708" w:leader="none"/>
        </w:tabs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</w:t>
      </w:r>
      <w:r/>
    </w:p>
    <w:p>
      <w:pPr>
        <w:pStyle w:val="884"/>
        <w:numPr>
          <w:ilvl w:val="0"/>
          <w:numId w:val="3"/>
        </w:numPr>
        <w:contextualSpacing/>
        <w:jc w:val="both"/>
        <w:spacing w:before="0" w:after="0" w:line="276" w:lineRule="auto"/>
      </w:pPr>
      <w:r>
        <w:t xml:space="preserve">Электронная библиотека для инженеров-теплоэнергетиков, а также научных работников и студентов вузов – </w:t>
      </w:r>
      <w:r>
        <w:rPr>
          <w:lang w:val="en-US"/>
        </w:rPr>
        <w:t xml:space="preserve">URL</w:t>
      </w:r>
      <w:r>
        <w:t xml:space="preserve">: </w:t>
      </w:r>
      <w:hyperlink r:id="rId13" w:tooltip="http://03-ts.ru/index.php?nma=index&amp;fla=index" w:history="1">
        <w:r>
          <w:rPr>
            <w:rStyle w:val="963"/>
          </w:rPr>
          <w:t xml:space="preserve">http://03-ts.ru/index.php?nma=index&amp;fla=index</w:t>
        </w:r>
      </w:hyperlink>
      <w:r>
        <w:t xml:space="preserve"> (дата обращения 31.01.2014 г.).</w:t>
      </w:r>
      <w:r/>
    </w:p>
    <w:p>
      <w:pPr>
        <w:pStyle w:val="884"/>
        <w:numPr>
          <w:ilvl w:val="0"/>
          <w:numId w:val="3"/>
        </w:numPr>
        <w:contextualSpacing/>
        <w:jc w:val="both"/>
        <w:spacing w:before="0" w:after="0" w:line="276" w:lineRule="auto"/>
      </w:pPr>
      <w:r>
        <w:t xml:space="preserve">Электронная библиотека: Все для студента – </w:t>
      </w:r>
      <w:r>
        <w:rPr>
          <w:lang w:val="en-US"/>
        </w:rPr>
        <w:t xml:space="preserve">URL</w:t>
      </w:r>
      <w:r>
        <w:t xml:space="preserve">: </w:t>
      </w:r>
      <w:hyperlink r:id="rId14" w:tooltip="http://www.twirpx.com/library" w:history="1">
        <w:r>
          <w:rPr>
            <w:rStyle w:val="963"/>
          </w:rPr>
          <w:t xml:space="preserve">http://www.twirpx.com/library</w:t>
        </w:r>
      </w:hyperlink>
      <w:r>
        <w:t xml:space="preserve"> (дата обращения 31.01.2014 г.).</w:t>
      </w:r>
      <w:r/>
    </w:p>
    <w:p>
      <w:pPr>
        <w:pStyle w:val="884"/>
        <w:numPr>
          <w:ilvl w:val="0"/>
          <w:numId w:val="3"/>
        </w:numPr>
        <w:contextualSpacing/>
        <w:jc w:val="both"/>
        <w:spacing w:before="0" w:after="0" w:line="276" w:lineRule="auto"/>
      </w:pPr>
      <w:r>
        <w:t xml:space="preserve">Научная электронная библиотека – </w:t>
      </w:r>
      <w:r>
        <w:rPr>
          <w:lang w:val="en-US"/>
        </w:rPr>
        <w:t xml:space="preserve">URL</w:t>
      </w:r>
      <w:r>
        <w:t xml:space="preserve">: </w:t>
      </w:r>
      <w:hyperlink r:id="rId15" w:tooltip="http://elibrary.ru/defaultx.asp" w:history="1">
        <w:r>
          <w:rPr>
            <w:rStyle w:val="963"/>
          </w:rPr>
          <w:t xml:space="preserve">http://elibrary.ru/defaultx.asp</w:t>
        </w:r>
      </w:hyperlink>
      <w:r>
        <w:t xml:space="preserve"> (дата обращения 31.01.2014 г.).</w:t>
      </w:r>
      <w:r/>
    </w:p>
    <w:p>
      <w:pPr>
        <w:pStyle w:val="972"/>
        <w:numPr>
          <w:ilvl w:val="0"/>
          <w:numId w:val="3"/>
        </w:numPr>
        <w:contextualSpacing/>
        <w:ind w:left="357" w:hanging="357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Коллекция книг по теплоэнергетике (более 470 наименований)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tooltip="http://rutracker.org/forum/viewtopic.php?t=1485172" w:history="1">
        <w:r>
          <w:rPr>
            <w:rStyle w:val="963"/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http://rutracker.org/forum/viewtopic.php?t=1485172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/ (дата обращения 30.01.2014 г.).</w:t>
      </w:r>
      <w:r/>
    </w:p>
    <w:p>
      <w:pPr>
        <w:pStyle w:val="972"/>
        <w:numPr>
          <w:ilvl w:val="0"/>
          <w:numId w:val="3"/>
        </w:numPr>
        <w:contextualSpacing/>
        <w:jc w:val="both"/>
        <w:spacing w:before="0"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библиотека учебно-методических материалов для студентов –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tooltip="http://www.studmed.ru/" w:history="1">
        <w:r>
          <w:rPr>
            <w:rStyle w:val="963"/>
            <w:rFonts w:ascii="Times New Roman" w:hAnsi="Times New Roman" w:cs="Times New Roman"/>
            <w:sz w:val="24"/>
            <w:szCs w:val="24"/>
          </w:rPr>
          <w:t xml:space="preserve">http://www.</w:t>
        </w:r>
        <w:r>
          <w:rPr>
            <w:rStyle w:val="963"/>
            <w:rFonts w:ascii="Times New Roman" w:hAnsi="Times New Roman" w:cs="Times New Roman"/>
            <w:sz w:val="24"/>
            <w:szCs w:val="24"/>
            <w:lang w:val="en-US"/>
          </w:rPr>
          <w:t xml:space="preserve">studmed</w:t>
        </w:r>
        <w:r>
          <w:rPr>
            <w:rStyle w:val="963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963"/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  <w:r>
          <w:rPr>
            <w:rStyle w:val="963"/>
            <w:rFonts w:ascii="Times New Roman" w:hAnsi="Times New Roman" w:cs="Times New Roman"/>
            <w:sz w:val="24"/>
            <w:szCs w:val="24"/>
          </w:rPr>
          <w:t xml:space="preserve"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16.12.2014 г.).</w:t>
      </w:r>
      <w:r/>
    </w:p>
    <w:p>
      <w:pPr>
        <w:pStyle w:val="884"/>
        <w:numPr>
          <w:ilvl w:val="0"/>
          <w:numId w:val="3"/>
        </w:numPr>
        <w:contextualSpacing/>
        <w:jc w:val="both"/>
        <w:spacing w:before="0" w:after="0" w:line="276" w:lineRule="auto"/>
      </w:pPr>
      <w:r>
        <w:t xml:space="preserve">Электронно-библиотечная система образовательных и просветительских изданий (бесплатная регистрация) – </w:t>
      </w:r>
      <w:r>
        <w:rPr>
          <w:lang w:val="en-US"/>
        </w:rPr>
        <w:t xml:space="preserve">URL</w:t>
      </w:r>
      <w:r>
        <w:t xml:space="preserve">: </w:t>
      </w:r>
      <w:hyperlink r:id="rId18" w:tooltip="http://www.iqlib.ru/" w:history="1">
        <w:r>
          <w:rPr>
            <w:rStyle w:val="963"/>
          </w:rPr>
          <w:t xml:space="preserve">http://www.iqlib.ru/</w:t>
        </w:r>
      </w:hyperlink>
      <w:r>
        <w:rPr>
          <w:rStyle w:val="963"/>
        </w:rPr>
        <w:t xml:space="preserve"> </w:t>
      </w:r>
      <w:r>
        <w:t xml:space="preserve">(дата обращения 30.01.2014 г.).</w:t>
      </w:r>
      <w:r/>
    </w:p>
    <w:p>
      <w:pPr>
        <w:pStyle w:val="972"/>
        <w:numPr>
          <w:ilvl w:val="0"/>
          <w:numId w:val="3"/>
        </w:numPr>
        <w:contextualSpacing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Научно-технический журнал «Энергосбережение и водоподготовка»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tooltip="http://www.energija.ru/" w:history="1">
        <w:r>
          <w:rPr>
            <w:rStyle w:val="963"/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http://www.energija.ru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(дата обращения 30.01.2014 г.).</w:t>
      </w:r>
      <w:r/>
    </w:p>
    <w:p>
      <w:pPr>
        <w:pStyle w:val="972"/>
        <w:numPr>
          <w:ilvl w:val="0"/>
          <w:numId w:val="3"/>
        </w:numPr>
        <w:contextualSpacing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Производственно-массовый журнал «Энергетик»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tooltip="http://www.energetik.energy-journals.ru/" w:history="1">
        <w:r>
          <w:rPr>
            <w:rStyle w:val="963"/>
            <w:rFonts w:ascii="Times New Roman" w:hAnsi="Times New Roman" w:cs="Times New Roman"/>
            <w:sz w:val="24"/>
            <w:szCs w:val="24"/>
          </w:rPr>
          <w:t xml:space="preserve">http://www.energetik.energy-journals.ru/</w:t>
        </w:r>
      </w:hyperlink>
      <w:r>
        <w:rPr>
          <w:rStyle w:val="96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(дата обращения 30.01.2014 г.).</w:t>
      </w:r>
      <w:r/>
    </w:p>
    <w:p>
      <w:pPr>
        <w:pStyle w:val="972"/>
        <w:numPr>
          <w:ilvl w:val="0"/>
          <w:numId w:val="3"/>
        </w:numPr>
        <w:contextualSpacing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Теоретический и научно-практический журнал «Теплоэнергетика»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tooltip="http://www.maik.ru/cgi-bin/list.pl?page=teploen" w:history="1">
        <w:r>
          <w:rPr>
            <w:rStyle w:val="963"/>
            <w:rFonts w:ascii="Times New Roman" w:hAnsi="Times New Roman" w:cs="Times New Roman"/>
            <w:sz w:val="24"/>
            <w:szCs w:val="24"/>
          </w:rPr>
          <w:t xml:space="preserve">http://www.maik.ru/cgi-bin/list.pl?page=teploen</w:t>
        </w:r>
      </w:hyperlink>
      <w:r>
        <w:rPr>
          <w:rStyle w:val="96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(дата обращения 30.01.2014 г.).</w:t>
      </w:r>
      <w:r/>
    </w:p>
    <w:p>
      <w:pPr>
        <w:pStyle w:val="972"/>
        <w:numPr>
          <w:ilvl w:val="0"/>
          <w:numId w:val="3"/>
        </w:numPr>
        <w:contextualSpacing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Производственно-технический журнал «Промышленная энергетика»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tooltip="http://www.promen.energy-journals.ru/" w:history="1">
        <w:r>
          <w:rPr>
            <w:rStyle w:val="963"/>
            <w:rFonts w:ascii="Times New Roman" w:hAnsi="Times New Roman" w:cs="Times New Roman"/>
            <w:sz w:val="24"/>
            <w:szCs w:val="24"/>
          </w:rPr>
          <w:t xml:space="preserve">http://www.promen.energy-journals.ru/</w:t>
        </w:r>
      </w:hyperlink>
      <w:r>
        <w:rPr>
          <w:rStyle w:val="96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(дата обращения 30.01.2014 г.).</w:t>
      </w:r>
      <w:r/>
    </w:p>
    <w:p>
      <w:pPr>
        <w:pStyle w:val="972"/>
        <w:numPr>
          <w:ilvl w:val="0"/>
          <w:numId w:val="3"/>
        </w:numPr>
        <w:contextualSpacing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Производственно-технический журнал «Электрические станции»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tooltip="http://www.elst.energy-journals.ru/" w:history="1">
        <w:r>
          <w:rPr>
            <w:rStyle w:val="963"/>
            <w:rFonts w:ascii="Times New Roman" w:hAnsi="Times New Roman" w:cs="Times New Roman"/>
            <w:sz w:val="24"/>
            <w:szCs w:val="24"/>
          </w:rPr>
          <w:t xml:space="preserve">http://www.elst.energy-journals.ru/</w:t>
        </w:r>
      </w:hyperlink>
      <w:r>
        <w:rPr>
          <w:rStyle w:val="96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(дата обращения 30.01.2014 г.).</w:t>
      </w:r>
      <w:r/>
    </w:p>
    <w:p>
      <w:pPr>
        <w:pStyle w:val="972"/>
        <w:numPr>
          <w:ilvl w:val="0"/>
          <w:numId w:val="3"/>
        </w:numPr>
        <w:contextualSpacing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научный журнал «Альтернативная энергетика и экология»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tooltip="http://isjaee.hydrogen.ru/" w:history="1">
        <w:r>
          <w:rPr>
            <w:rStyle w:val="963"/>
            <w:rFonts w:ascii="Times New Roman" w:hAnsi="Times New Roman" w:cs="Times New Roman"/>
            <w:sz w:val="24"/>
            <w:szCs w:val="24"/>
          </w:rPr>
          <w:t xml:space="preserve">http://isjaee.hydrogen.ru/</w:t>
        </w:r>
      </w:hyperlink>
      <w:r>
        <w:rPr>
          <w:rStyle w:val="96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(дата обращения 30.01.2014 г.).</w:t>
      </w:r>
      <w:r/>
    </w:p>
    <w:p>
      <w:pPr>
        <w:pStyle w:val="884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pStyle w:val="884"/>
        <w:ind w:firstLine="360"/>
        <w:jc w:val="both"/>
        <w:spacing w:line="276" w:lineRule="auto"/>
      </w:pPr>
      <w:r>
        <w:t xml:space="preserve">Ведущий преподаватель</w:t>
        <w:tab/>
        <w:t xml:space="preserve">__________________________________</w:t>
      </w:r>
      <w:r/>
    </w:p>
    <w:p>
      <w:pPr>
        <w:pStyle w:val="884"/>
        <w:ind w:firstLine="360"/>
        <w:jc w:val="both"/>
        <w:spacing w:line="276" w:lineRule="auto"/>
      </w:pPr>
      <w:r>
        <w:tab/>
        <w:tab/>
        <w:tab/>
      </w:r>
      <w:r/>
    </w:p>
    <w:p>
      <w:pPr>
        <w:pStyle w:val="884"/>
        <w:ind w:firstLine="360"/>
        <w:jc w:val="both"/>
        <w:spacing w:line="276" w:lineRule="auto"/>
      </w:pPr>
      <w:r>
        <w:t xml:space="preserve">Заведующий кафедрой Энергетики</w:t>
        <w:tab/>
        <w:t xml:space="preserve">__________________________________</w:t>
        <w:tab/>
        <w:tab/>
        <w:tab/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timesnewroman;arial unicode ms">
    <w:panose1 w:val="05040102010807070707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12</w:t>
    </w:r>
    <w:r>
      <w:fldChar w:fldCharType="end"/>
    </w:r>
    <w:r/>
  </w:p>
  <w:p>
    <w:pPr>
      <w:pStyle w:val="97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 w:val="false"/>
      <w:suff w:val="tab"/>
      <w:lvlText w:val="%1.%2"/>
      <w:lvlJc w:val="left"/>
      <w:pPr>
        <w:ind w:left="1065" w:hanging="360"/>
        <w:tabs>
          <w:tab w:val="num" w:pos="1065" w:leader="none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0" w:hanging="720"/>
        <w:tabs>
          <w:tab w:val="num" w:pos="2130" w:leader="none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35" w:hanging="720"/>
        <w:tabs>
          <w:tab w:val="num" w:pos="2835" w:leader="none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00" w:hanging="1080"/>
        <w:tabs>
          <w:tab w:val="num" w:pos="3900" w:leader="none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605" w:hanging="1080"/>
        <w:tabs>
          <w:tab w:val="num" w:pos="4605" w:leader="none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70" w:hanging="1440"/>
        <w:tabs>
          <w:tab w:val="num" w:pos="5670" w:leader="none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375" w:hanging="1440"/>
        <w:tabs>
          <w:tab w:val="num" w:pos="6375" w:leader="none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080" w:hanging="1440"/>
        <w:tabs>
          <w:tab w:val="num" w:pos="7080" w:leader="none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4.%1"/>
      <w:lvlJc w:val="left"/>
      <w:pPr>
        <w:ind w:left="1429" w:hanging="360"/>
        <w:tabs>
          <w:tab w:val="num" w:pos="0" w:leader="none"/>
        </w:tabs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727" w:hanging="45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1855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215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15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57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575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935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95" w:hanging="216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3.%1"/>
      <w:lvlJc w:val="center"/>
      <w:pPr>
        <w:ind w:left="72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  <w:tabs>
          <w:tab w:val="num" w:pos="0" w:leader="none"/>
        </w:tabs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>
    <w:name w:val="Heading 1"/>
    <w:basedOn w:val="884"/>
    <w:next w:val="884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11">
    <w:name w:val="Heading 1 Char"/>
    <w:link w:val="710"/>
    <w:uiPriority w:val="9"/>
    <w:rPr>
      <w:rFonts w:ascii="Arial" w:hAnsi="Arial" w:cs="Arial" w:eastAsia="Arial"/>
      <w:sz w:val="40"/>
      <w:szCs w:val="40"/>
    </w:rPr>
  </w:style>
  <w:style w:type="paragraph" w:styleId="712">
    <w:name w:val="Heading 2"/>
    <w:basedOn w:val="884"/>
    <w:next w:val="884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13">
    <w:name w:val="Heading 2 Char"/>
    <w:link w:val="712"/>
    <w:uiPriority w:val="9"/>
    <w:rPr>
      <w:rFonts w:ascii="Arial" w:hAnsi="Arial" w:cs="Arial" w:eastAsia="Arial"/>
      <w:sz w:val="34"/>
    </w:rPr>
  </w:style>
  <w:style w:type="paragraph" w:styleId="714">
    <w:name w:val="Heading 3"/>
    <w:basedOn w:val="884"/>
    <w:next w:val="884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15">
    <w:name w:val="Heading 3 Char"/>
    <w:link w:val="714"/>
    <w:uiPriority w:val="9"/>
    <w:rPr>
      <w:rFonts w:ascii="Arial" w:hAnsi="Arial" w:cs="Arial" w:eastAsia="Arial"/>
      <w:sz w:val="30"/>
      <w:szCs w:val="30"/>
    </w:rPr>
  </w:style>
  <w:style w:type="paragraph" w:styleId="716">
    <w:name w:val="Heading 4"/>
    <w:basedOn w:val="884"/>
    <w:next w:val="884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7">
    <w:name w:val="Heading 4 Char"/>
    <w:link w:val="716"/>
    <w:uiPriority w:val="9"/>
    <w:rPr>
      <w:rFonts w:ascii="Arial" w:hAnsi="Arial" w:cs="Arial" w:eastAsia="Arial"/>
      <w:b/>
      <w:bCs/>
      <w:sz w:val="26"/>
      <w:szCs w:val="26"/>
    </w:rPr>
  </w:style>
  <w:style w:type="paragraph" w:styleId="718">
    <w:name w:val="Heading 5"/>
    <w:basedOn w:val="884"/>
    <w:next w:val="884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9">
    <w:name w:val="Heading 5 Char"/>
    <w:link w:val="718"/>
    <w:uiPriority w:val="9"/>
    <w:rPr>
      <w:rFonts w:ascii="Arial" w:hAnsi="Arial" w:cs="Arial" w:eastAsia="Arial"/>
      <w:b/>
      <w:bCs/>
      <w:sz w:val="24"/>
      <w:szCs w:val="24"/>
    </w:rPr>
  </w:style>
  <w:style w:type="paragraph" w:styleId="720">
    <w:name w:val="Heading 6"/>
    <w:basedOn w:val="884"/>
    <w:next w:val="884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1">
    <w:name w:val="Heading 6 Char"/>
    <w:link w:val="720"/>
    <w:uiPriority w:val="9"/>
    <w:rPr>
      <w:rFonts w:ascii="Arial" w:hAnsi="Arial" w:cs="Arial" w:eastAsia="Arial"/>
      <w:b/>
      <w:bCs/>
      <w:sz w:val="22"/>
      <w:szCs w:val="22"/>
    </w:rPr>
  </w:style>
  <w:style w:type="paragraph" w:styleId="722">
    <w:name w:val="Heading 7"/>
    <w:basedOn w:val="884"/>
    <w:next w:val="884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3">
    <w:name w:val="Heading 7 Char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4">
    <w:name w:val="Heading 8"/>
    <w:basedOn w:val="884"/>
    <w:next w:val="884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25">
    <w:name w:val="Heading 8 Char"/>
    <w:link w:val="724"/>
    <w:uiPriority w:val="9"/>
    <w:rPr>
      <w:rFonts w:ascii="Arial" w:hAnsi="Arial" w:cs="Arial" w:eastAsia="Arial"/>
      <w:i/>
      <w:iCs/>
      <w:sz w:val="22"/>
      <w:szCs w:val="22"/>
    </w:rPr>
  </w:style>
  <w:style w:type="paragraph" w:styleId="726">
    <w:name w:val="Heading 9"/>
    <w:basedOn w:val="884"/>
    <w:next w:val="884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7">
    <w:name w:val="Heading 9 Char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28">
    <w:name w:val="List Paragraph"/>
    <w:basedOn w:val="884"/>
    <w:uiPriority w:val="34"/>
    <w:qFormat/>
    <w:pPr>
      <w:contextualSpacing/>
      <w:ind w:left="720"/>
    </w:pPr>
  </w:style>
  <w:style w:type="paragraph" w:styleId="729">
    <w:name w:val="No Spacing"/>
    <w:uiPriority w:val="1"/>
    <w:qFormat/>
    <w:pPr>
      <w:spacing w:before="0" w:after="0" w:line="240" w:lineRule="auto"/>
    </w:pPr>
  </w:style>
  <w:style w:type="paragraph" w:styleId="730">
    <w:name w:val="Title"/>
    <w:basedOn w:val="884"/>
    <w:next w:val="884"/>
    <w:link w:val="73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1">
    <w:name w:val="Title Char"/>
    <w:link w:val="730"/>
    <w:uiPriority w:val="10"/>
    <w:rPr>
      <w:sz w:val="48"/>
      <w:szCs w:val="48"/>
    </w:rPr>
  </w:style>
  <w:style w:type="paragraph" w:styleId="732">
    <w:name w:val="Subtitle"/>
    <w:basedOn w:val="884"/>
    <w:next w:val="884"/>
    <w:link w:val="733"/>
    <w:uiPriority w:val="11"/>
    <w:qFormat/>
    <w:pPr>
      <w:spacing w:before="200" w:after="200"/>
    </w:pPr>
    <w:rPr>
      <w:sz w:val="24"/>
      <w:szCs w:val="24"/>
    </w:rPr>
  </w:style>
  <w:style w:type="character" w:styleId="733">
    <w:name w:val="Subtitle Char"/>
    <w:link w:val="732"/>
    <w:uiPriority w:val="11"/>
    <w:rPr>
      <w:sz w:val="24"/>
      <w:szCs w:val="24"/>
    </w:rPr>
  </w:style>
  <w:style w:type="paragraph" w:styleId="734">
    <w:name w:val="Quote"/>
    <w:basedOn w:val="884"/>
    <w:next w:val="884"/>
    <w:link w:val="735"/>
    <w:uiPriority w:val="29"/>
    <w:qFormat/>
    <w:pPr>
      <w:ind w:left="720" w:right="720"/>
    </w:pPr>
    <w:rPr>
      <w:i/>
    </w:rPr>
  </w:style>
  <w:style w:type="character" w:styleId="735">
    <w:name w:val="Quote Char"/>
    <w:link w:val="734"/>
    <w:uiPriority w:val="29"/>
    <w:rPr>
      <w:i/>
    </w:rPr>
  </w:style>
  <w:style w:type="paragraph" w:styleId="736">
    <w:name w:val="Intense Quote"/>
    <w:basedOn w:val="884"/>
    <w:next w:val="884"/>
    <w:link w:val="73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>
    <w:name w:val="Intense Quote Char"/>
    <w:link w:val="736"/>
    <w:uiPriority w:val="30"/>
    <w:rPr>
      <w:i/>
    </w:rPr>
  </w:style>
  <w:style w:type="character" w:styleId="738">
    <w:name w:val="Header Char"/>
    <w:link w:val="974"/>
    <w:uiPriority w:val="99"/>
  </w:style>
  <w:style w:type="character" w:styleId="739">
    <w:name w:val="Footer Char"/>
    <w:link w:val="975"/>
    <w:uiPriority w:val="99"/>
  </w:style>
  <w:style w:type="character" w:styleId="740">
    <w:name w:val="Caption Char"/>
    <w:basedOn w:val="970"/>
    <w:link w:val="975"/>
    <w:uiPriority w:val="99"/>
  </w:style>
  <w:style w:type="table" w:styleId="74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character" w:styleId="885">
    <w:name w:val="WW8Num1z0"/>
    <w:qFormat/>
    <w:rPr>
      <w:rFonts w:ascii="Symbol" w:hAnsi="Symbol" w:cs="Symbol"/>
    </w:rPr>
  </w:style>
  <w:style w:type="character" w:styleId="886">
    <w:name w:val="WW8Num1z1"/>
    <w:qFormat/>
    <w:rPr>
      <w:rFonts w:ascii="Courier New" w:hAnsi="Courier New" w:cs="Courier New"/>
    </w:rPr>
  </w:style>
  <w:style w:type="character" w:styleId="887">
    <w:name w:val="WW8Num1z2"/>
    <w:qFormat/>
    <w:rPr>
      <w:rFonts w:ascii="Wingdings" w:hAnsi="Wingdings" w:cs="Wingdings"/>
    </w:rPr>
  </w:style>
  <w:style w:type="character" w:styleId="888">
    <w:name w:val="WW8Num2z0"/>
    <w:qFormat/>
    <w:rPr>
      <w:rFonts w:ascii="Symbol" w:hAnsi="Symbol" w:cs="Symbol"/>
    </w:rPr>
  </w:style>
  <w:style w:type="character" w:styleId="889">
    <w:name w:val="WW8Num2z1"/>
    <w:qFormat/>
    <w:rPr>
      <w:rFonts w:ascii="Courier New" w:hAnsi="Courier New" w:cs="Courier New"/>
    </w:rPr>
  </w:style>
  <w:style w:type="character" w:styleId="890">
    <w:name w:val="WW8Num2z2"/>
    <w:qFormat/>
    <w:rPr>
      <w:rFonts w:ascii="Wingdings" w:hAnsi="Wingdings" w:cs="Wingdings"/>
    </w:rPr>
  </w:style>
  <w:style w:type="character" w:styleId="891">
    <w:name w:val="WW8Num3z0"/>
    <w:qFormat/>
    <w:rPr>
      <w:rFonts w:ascii="Times New Roman" w:hAnsi="Times New Roman" w:cs="Times New Roman"/>
      <w:sz w:val="24"/>
      <w:szCs w:val="24"/>
    </w:rPr>
  </w:style>
  <w:style w:type="character" w:styleId="892">
    <w:name w:val="WW8Num4z0"/>
    <w:qFormat/>
    <w:rPr>
      <w:rFonts w:ascii="Times New Roman" w:hAnsi="Times New Roman" w:cs="Times New Roman"/>
      <w:b/>
      <w:sz w:val="24"/>
      <w:szCs w:val="24"/>
    </w:rPr>
  </w:style>
  <w:style w:type="character" w:styleId="893">
    <w:name w:val="WW8Num4z1"/>
    <w:qFormat/>
  </w:style>
  <w:style w:type="character" w:styleId="894">
    <w:name w:val="WW8Num4z2"/>
    <w:qFormat/>
  </w:style>
  <w:style w:type="character" w:styleId="895">
    <w:name w:val="WW8Num4z3"/>
    <w:qFormat/>
  </w:style>
  <w:style w:type="character" w:styleId="896">
    <w:name w:val="WW8Num4z4"/>
    <w:qFormat/>
  </w:style>
  <w:style w:type="character" w:styleId="897">
    <w:name w:val="WW8Num4z5"/>
    <w:qFormat/>
  </w:style>
  <w:style w:type="character" w:styleId="898">
    <w:name w:val="WW8Num4z6"/>
    <w:qFormat/>
  </w:style>
  <w:style w:type="character" w:styleId="899">
    <w:name w:val="WW8Num4z7"/>
    <w:qFormat/>
  </w:style>
  <w:style w:type="character" w:styleId="900">
    <w:name w:val="WW8Num4z8"/>
    <w:qFormat/>
  </w:style>
  <w:style w:type="character" w:styleId="901">
    <w:name w:val="WW8Num5z0"/>
    <w:qFormat/>
  </w:style>
  <w:style w:type="character" w:styleId="902">
    <w:name w:val="WW8Num5z1"/>
    <w:qFormat/>
  </w:style>
  <w:style w:type="character" w:styleId="903">
    <w:name w:val="WW8Num5z2"/>
    <w:qFormat/>
  </w:style>
  <w:style w:type="character" w:styleId="904">
    <w:name w:val="WW8Num5z3"/>
    <w:qFormat/>
  </w:style>
  <w:style w:type="character" w:styleId="905">
    <w:name w:val="WW8Num5z4"/>
    <w:qFormat/>
  </w:style>
  <w:style w:type="character" w:styleId="906">
    <w:name w:val="WW8Num5z5"/>
    <w:qFormat/>
  </w:style>
  <w:style w:type="character" w:styleId="907">
    <w:name w:val="WW8Num5z6"/>
    <w:qFormat/>
  </w:style>
  <w:style w:type="character" w:styleId="908">
    <w:name w:val="WW8Num5z7"/>
    <w:qFormat/>
  </w:style>
  <w:style w:type="character" w:styleId="909">
    <w:name w:val="WW8Num5z8"/>
    <w:qFormat/>
  </w:style>
  <w:style w:type="character" w:styleId="910">
    <w:name w:val="WW8Num6z0"/>
    <w:qFormat/>
    <w:rPr>
      <w:rFonts w:ascii="Symbol" w:hAnsi="Symbol" w:cs="Symbol"/>
    </w:rPr>
  </w:style>
  <w:style w:type="character" w:styleId="911">
    <w:name w:val="WW8Num6z1"/>
    <w:qFormat/>
    <w:rPr>
      <w:rFonts w:ascii="Courier New" w:hAnsi="Courier New" w:cs="Courier New"/>
    </w:rPr>
  </w:style>
  <w:style w:type="character" w:styleId="912">
    <w:name w:val="WW8Num6z2"/>
    <w:qFormat/>
    <w:rPr>
      <w:rFonts w:ascii="Wingdings" w:hAnsi="Wingdings" w:cs="Wingdings"/>
    </w:rPr>
  </w:style>
  <w:style w:type="character" w:styleId="913">
    <w:name w:val="WW8Num7z0"/>
    <w:qFormat/>
  </w:style>
  <w:style w:type="character" w:styleId="914">
    <w:name w:val="WW8Num7z1"/>
    <w:qFormat/>
  </w:style>
  <w:style w:type="character" w:styleId="915">
    <w:name w:val="WW8Num7z2"/>
    <w:qFormat/>
  </w:style>
  <w:style w:type="character" w:styleId="916">
    <w:name w:val="WW8Num7z3"/>
    <w:qFormat/>
  </w:style>
  <w:style w:type="character" w:styleId="917">
    <w:name w:val="WW8Num7z4"/>
    <w:qFormat/>
  </w:style>
  <w:style w:type="character" w:styleId="918">
    <w:name w:val="WW8Num7z5"/>
    <w:qFormat/>
  </w:style>
  <w:style w:type="character" w:styleId="919">
    <w:name w:val="WW8Num7z6"/>
    <w:qFormat/>
  </w:style>
  <w:style w:type="character" w:styleId="920">
    <w:name w:val="WW8Num7z7"/>
    <w:qFormat/>
  </w:style>
  <w:style w:type="character" w:styleId="921">
    <w:name w:val="WW8Num7z8"/>
    <w:qFormat/>
  </w:style>
  <w:style w:type="character" w:styleId="922">
    <w:name w:val="WW8Num8z0"/>
    <w:qFormat/>
    <w:rPr>
      <w:rFonts w:ascii="Symbol" w:hAnsi="Symbol" w:cs="Symbol"/>
    </w:rPr>
  </w:style>
  <w:style w:type="character" w:styleId="923">
    <w:name w:val="WW8Num8z1"/>
    <w:qFormat/>
    <w:rPr>
      <w:rFonts w:ascii="Courier New" w:hAnsi="Courier New" w:cs="Courier New"/>
    </w:rPr>
  </w:style>
  <w:style w:type="character" w:styleId="924">
    <w:name w:val="WW8Num8z2"/>
    <w:qFormat/>
    <w:rPr>
      <w:rFonts w:ascii="Wingdings" w:hAnsi="Wingdings" w:cs="Wingdings"/>
    </w:rPr>
  </w:style>
  <w:style w:type="character" w:styleId="925">
    <w:name w:val="WW8Num9z0"/>
    <w:qFormat/>
  </w:style>
  <w:style w:type="character" w:styleId="926">
    <w:name w:val="WW8Num9z1"/>
    <w:qFormat/>
  </w:style>
  <w:style w:type="character" w:styleId="927">
    <w:name w:val="WW8Num9z2"/>
    <w:qFormat/>
  </w:style>
  <w:style w:type="character" w:styleId="928">
    <w:name w:val="WW8Num9z3"/>
    <w:qFormat/>
  </w:style>
  <w:style w:type="character" w:styleId="929">
    <w:name w:val="WW8Num9z4"/>
    <w:qFormat/>
  </w:style>
  <w:style w:type="character" w:styleId="930">
    <w:name w:val="WW8Num9z5"/>
    <w:qFormat/>
  </w:style>
  <w:style w:type="character" w:styleId="931">
    <w:name w:val="WW8Num9z6"/>
    <w:qFormat/>
  </w:style>
  <w:style w:type="character" w:styleId="932">
    <w:name w:val="WW8Num9z7"/>
    <w:qFormat/>
  </w:style>
  <w:style w:type="character" w:styleId="933">
    <w:name w:val="WW8Num9z8"/>
    <w:qFormat/>
  </w:style>
  <w:style w:type="character" w:styleId="934">
    <w:name w:val="WW8Num10z0"/>
    <w:qFormat/>
    <w:rPr>
      <w:rFonts w:ascii="Symbol" w:hAnsi="Symbol" w:cs="Symbol"/>
    </w:rPr>
  </w:style>
  <w:style w:type="character" w:styleId="935">
    <w:name w:val="WW8Num10z1"/>
    <w:qFormat/>
    <w:rPr>
      <w:rFonts w:ascii="Courier New" w:hAnsi="Courier New" w:cs="Courier New"/>
    </w:rPr>
  </w:style>
  <w:style w:type="character" w:styleId="936">
    <w:name w:val="WW8Num10z2"/>
    <w:qFormat/>
    <w:rPr>
      <w:rFonts w:ascii="Wingdings" w:hAnsi="Wingdings" w:cs="Wingdings"/>
    </w:rPr>
  </w:style>
  <w:style w:type="character" w:styleId="937">
    <w:name w:val="WW8Num11z0"/>
    <w:qFormat/>
  </w:style>
  <w:style w:type="character" w:styleId="938">
    <w:name w:val="WW8Num11z1"/>
    <w:qFormat/>
  </w:style>
  <w:style w:type="character" w:styleId="939">
    <w:name w:val="WW8Num12z0"/>
    <w:qFormat/>
    <w:rPr>
      <w:b/>
    </w:rPr>
  </w:style>
  <w:style w:type="character" w:styleId="940">
    <w:name w:val="WW8Num12z1"/>
    <w:qFormat/>
  </w:style>
  <w:style w:type="character" w:styleId="941">
    <w:name w:val="WW8Num12z2"/>
    <w:qFormat/>
  </w:style>
  <w:style w:type="character" w:styleId="942">
    <w:name w:val="WW8Num12z3"/>
    <w:qFormat/>
  </w:style>
  <w:style w:type="character" w:styleId="943">
    <w:name w:val="WW8Num12z4"/>
    <w:qFormat/>
  </w:style>
  <w:style w:type="character" w:styleId="944">
    <w:name w:val="WW8Num12z5"/>
    <w:qFormat/>
  </w:style>
  <w:style w:type="character" w:styleId="945">
    <w:name w:val="WW8Num12z6"/>
    <w:qFormat/>
  </w:style>
  <w:style w:type="character" w:styleId="946">
    <w:name w:val="WW8Num12z7"/>
    <w:qFormat/>
  </w:style>
  <w:style w:type="character" w:styleId="947">
    <w:name w:val="WW8Num12z8"/>
    <w:qFormat/>
  </w:style>
  <w:style w:type="character" w:styleId="948">
    <w:name w:val="WW8Num13z0"/>
    <w:qFormat/>
    <w:rPr>
      <w:rFonts w:ascii="Times New Roman" w:hAnsi="Times New Roman" w:cs="Times New Roman"/>
      <w:b w:val="0"/>
      <w:sz w:val="24"/>
      <w:szCs w:val="24"/>
    </w:rPr>
  </w:style>
  <w:style w:type="character" w:styleId="949">
    <w:name w:val="WW8Num13z1"/>
    <w:qFormat/>
  </w:style>
  <w:style w:type="character" w:styleId="950">
    <w:name w:val="WW8Num13z2"/>
    <w:qFormat/>
  </w:style>
  <w:style w:type="character" w:styleId="951">
    <w:name w:val="WW8Num13z3"/>
    <w:qFormat/>
  </w:style>
  <w:style w:type="character" w:styleId="952">
    <w:name w:val="WW8Num13z4"/>
    <w:qFormat/>
  </w:style>
  <w:style w:type="character" w:styleId="953">
    <w:name w:val="WW8Num13z5"/>
    <w:qFormat/>
  </w:style>
  <w:style w:type="character" w:styleId="954">
    <w:name w:val="WW8Num13z6"/>
    <w:qFormat/>
  </w:style>
  <w:style w:type="character" w:styleId="955">
    <w:name w:val="WW8Num13z7"/>
    <w:qFormat/>
  </w:style>
  <w:style w:type="character" w:styleId="956">
    <w:name w:val="WW8Num13z8"/>
    <w:qFormat/>
  </w:style>
  <w:style w:type="character" w:styleId="957">
    <w:name w:val="WW8Num14z0"/>
    <w:qFormat/>
  </w:style>
  <w:style w:type="character" w:styleId="958">
    <w:name w:val="WW8Num14z1"/>
    <w:qFormat/>
  </w:style>
  <w:style w:type="character" w:styleId="959">
    <w:name w:val="WW8Num15z0"/>
    <w:qFormat/>
    <w:rPr>
      <w:rFonts w:ascii="Symbol" w:hAnsi="Symbol" w:cs="Symbol" w:eastAsia="TimesNewRoman;Arial Unicode MS"/>
    </w:rPr>
  </w:style>
  <w:style w:type="character" w:styleId="960">
    <w:name w:val="WW8Num15z1"/>
    <w:qFormat/>
    <w:rPr>
      <w:rFonts w:ascii="Courier New" w:hAnsi="Courier New" w:cs="Courier New"/>
    </w:rPr>
  </w:style>
  <w:style w:type="character" w:styleId="961">
    <w:name w:val="WW8Num15z2"/>
    <w:qFormat/>
    <w:rPr>
      <w:rFonts w:ascii="Wingdings" w:hAnsi="Wingdings" w:cs="Wingdings"/>
    </w:rPr>
  </w:style>
  <w:style w:type="character" w:styleId="962">
    <w:name w:val="Основной шрифт абзаца"/>
    <w:qFormat/>
  </w:style>
  <w:style w:type="character" w:styleId="963">
    <w:name w:val="Hyperlink"/>
    <w:rPr>
      <w:color w:val="0000FF"/>
      <w:u w:val="single"/>
    </w:rPr>
  </w:style>
  <w:style w:type="character" w:styleId="964">
    <w:name w:val="Цитата HTML"/>
    <w:qFormat/>
    <w:rPr>
      <w:i/>
      <w:iCs/>
    </w:rPr>
  </w:style>
  <w:style w:type="character" w:styleId="965">
    <w:name w:val="Верхний колонтитул Знак"/>
    <w:qFormat/>
    <w:rPr>
      <w:rFonts w:ascii="Times New Roman" w:hAnsi="Times New Roman" w:cs="Times New Roman" w:eastAsia="Times New Roman"/>
      <w:sz w:val="24"/>
      <w:szCs w:val="24"/>
    </w:rPr>
  </w:style>
  <w:style w:type="character" w:styleId="966">
    <w:name w:val="Нижний колонтитул Знак"/>
    <w:qFormat/>
    <w:rPr>
      <w:rFonts w:ascii="Times New Roman" w:hAnsi="Times New Roman" w:cs="Times New Roman" w:eastAsia="Times New Roman"/>
      <w:sz w:val="24"/>
      <w:szCs w:val="24"/>
    </w:rPr>
  </w:style>
  <w:style w:type="paragraph" w:styleId="967">
    <w:name w:val="Heading"/>
    <w:basedOn w:val="884"/>
    <w:next w:val="968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968">
    <w:name w:val="Body Text"/>
    <w:basedOn w:val="884"/>
    <w:pPr>
      <w:spacing w:before="0" w:after="140" w:line="276" w:lineRule="auto"/>
    </w:pPr>
  </w:style>
  <w:style w:type="paragraph" w:styleId="969">
    <w:name w:val="List"/>
    <w:basedOn w:val="968"/>
  </w:style>
  <w:style w:type="paragraph" w:styleId="970">
    <w:name w:val="Caption"/>
    <w:basedOn w:val="884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971">
    <w:name w:val="Index"/>
    <w:basedOn w:val="884"/>
    <w:qFormat/>
    <w:pPr>
      <w:suppressLineNumbers/>
    </w:pPr>
  </w:style>
  <w:style w:type="paragraph" w:styleId="972">
    <w:name w:val="Абзац списка"/>
    <w:basedOn w:val="884"/>
    <w:qFormat/>
    <w:pPr>
      <w:contextualSpacing/>
      <w:ind w:left="720" w:firstLine="0"/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973">
    <w:name w:val="Header and Footer"/>
    <w:basedOn w:val="884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974">
    <w:name w:val="Header"/>
    <w:basedOn w:val="884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75">
    <w:name w:val="Footer"/>
    <w:basedOn w:val="884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76">
    <w:name w:val="Table Contents"/>
    <w:basedOn w:val="884"/>
    <w:qFormat/>
    <w:pPr>
      <w:widowControl w:val="off"/>
      <w:suppressLineNumbers/>
    </w:pPr>
  </w:style>
  <w:style w:type="paragraph" w:styleId="977">
    <w:name w:val="Table Heading"/>
    <w:basedOn w:val="976"/>
    <w:qFormat/>
    <w:pPr>
      <w:jc w:val="center"/>
      <w:suppressLineNumbers/>
    </w:pPr>
    <w:rPr>
      <w:b/>
      <w:bCs/>
    </w:rPr>
  </w:style>
  <w:style w:type="numbering" w:styleId="978">
    <w:name w:val="WW8Num1"/>
    <w:qFormat/>
  </w:style>
  <w:style w:type="numbering" w:styleId="979">
    <w:name w:val="WW8Num2"/>
    <w:qFormat/>
  </w:style>
  <w:style w:type="numbering" w:styleId="980">
    <w:name w:val="WW8Num3"/>
    <w:qFormat/>
  </w:style>
  <w:style w:type="numbering" w:styleId="981">
    <w:name w:val="WW8Num4"/>
    <w:qFormat/>
  </w:style>
  <w:style w:type="numbering" w:styleId="982">
    <w:name w:val="WW8Num5"/>
    <w:qFormat/>
  </w:style>
  <w:style w:type="numbering" w:styleId="983">
    <w:name w:val="WW8Num6"/>
    <w:qFormat/>
  </w:style>
  <w:style w:type="numbering" w:styleId="984">
    <w:name w:val="WW8Num7"/>
    <w:qFormat/>
  </w:style>
  <w:style w:type="numbering" w:styleId="985">
    <w:name w:val="WW8Num8"/>
    <w:qFormat/>
  </w:style>
  <w:style w:type="numbering" w:styleId="986">
    <w:name w:val="WW8Num9"/>
    <w:qFormat/>
  </w:style>
  <w:style w:type="numbering" w:styleId="987">
    <w:name w:val="WW8Num10"/>
    <w:qFormat/>
  </w:style>
  <w:style w:type="numbering" w:styleId="988">
    <w:name w:val="WW8Num11"/>
    <w:qFormat/>
  </w:style>
  <w:style w:type="numbering" w:styleId="989">
    <w:name w:val="WW8Num12"/>
    <w:qFormat/>
  </w:style>
  <w:style w:type="numbering" w:styleId="990">
    <w:name w:val="WW8Num13"/>
    <w:qFormat/>
  </w:style>
  <w:style w:type="numbering" w:styleId="991">
    <w:name w:val="WW8Num14"/>
    <w:qFormat/>
  </w:style>
  <w:style w:type="numbering" w:styleId="992">
    <w:name w:val="WW8Num15"/>
    <w:qFormat/>
  </w:style>
  <w:style w:type="character" w:styleId="993" w:default="1">
    <w:name w:val="Default Paragraph Font"/>
    <w:uiPriority w:val="1"/>
    <w:semiHidden/>
    <w:unhideWhenUsed/>
  </w:style>
  <w:style w:type="numbering" w:styleId="994" w:default="1">
    <w:name w:val="No List"/>
    <w:uiPriority w:val="99"/>
    <w:semiHidden/>
    <w:unhideWhenUsed/>
  </w:style>
  <w:style w:type="table" w:styleId="9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://03-ts.ru/index.php?nma=index&amp;fla=index" TargetMode="External"/><Relationship Id="rId14" Type="http://schemas.openxmlformats.org/officeDocument/2006/relationships/hyperlink" Target="http://www.twirpx.com/library" TargetMode="External"/><Relationship Id="rId15" Type="http://schemas.openxmlformats.org/officeDocument/2006/relationships/hyperlink" Target="http://elibrary.ru/defaultx.asp" TargetMode="External"/><Relationship Id="rId16" Type="http://schemas.openxmlformats.org/officeDocument/2006/relationships/hyperlink" Target="http://rutracker.org/forum/viewtopic.php?t=1485172" TargetMode="External"/><Relationship Id="rId17" Type="http://schemas.openxmlformats.org/officeDocument/2006/relationships/hyperlink" Target="http://www.studmed.ru/" TargetMode="External"/><Relationship Id="rId18" Type="http://schemas.openxmlformats.org/officeDocument/2006/relationships/hyperlink" Target="http://www.iqlib.ru/" TargetMode="External"/><Relationship Id="rId19" Type="http://schemas.openxmlformats.org/officeDocument/2006/relationships/hyperlink" Target="http://www.energija.ru/" TargetMode="External"/><Relationship Id="rId20" Type="http://schemas.openxmlformats.org/officeDocument/2006/relationships/hyperlink" Target="http://www.energetik.energy-journals.ru/" TargetMode="External"/><Relationship Id="rId21" Type="http://schemas.openxmlformats.org/officeDocument/2006/relationships/hyperlink" Target="http://www.maik.ru/cgi-bin/list.pl?page=teploen" TargetMode="External"/><Relationship Id="rId22" Type="http://schemas.openxmlformats.org/officeDocument/2006/relationships/hyperlink" Target="http://www.promen.energy-journals.ru/" TargetMode="External"/><Relationship Id="rId23" Type="http://schemas.openxmlformats.org/officeDocument/2006/relationships/hyperlink" Target="http://www.elst.energy-journals.ru/" TargetMode="External"/><Relationship Id="rId24" Type="http://schemas.openxmlformats.org/officeDocument/2006/relationships/hyperlink" Target="http://isjaee.hydrogen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> </cp:keywords>
  <dc:description/>
  <dc:language>en-US</dc:language>
  <cp:lastModifiedBy>Михаил Кобылкин</cp:lastModifiedBy>
  <cp:revision>47</cp:revision>
  <dcterms:created xsi:type="dcterms:W3CDTF">2015-10-14T04:05:00Z</dcterms:created>
  <dcterms:modified xsi:type="dcterms:W3CDTF">2022-09-09T01:57:29Z</dcterms:modified>
</cp:coreProperties>
</file>