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F1" w:rsidRPr="005372D1" w:rsidRDefault="00D42DF1" w:rsidP="005372D1">
      <w:pPr>
        <w:widowControl w:val="0"/>
        <w:jc w:val="center"/>
      </w:pPr>
      <w:r w:rsidRPr="005372D1">
        <w:t xml:space="preserve">МИНИСТЕРСТВО НАУКИ </w:t>
      </w:r>
      <w:r w:rsidR="004B70E9" w:rsidRPr="005372D1">
        <w:t xml:space="preserve">И ВЫСШЕГО ОБРАЗОВАНИЯ </w:t>
      </w:r>
      <w:r w:rsidRPr="005372D1">
        <w:t>РОССИЙСКОЙ ФЕДЕРАЦИИ</w:t>
      </w:r>
    </w:p>
    <w:p w:rsidR="005372D1" w:rsidRDefault="00D42DF1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D42DF1" w:rsidRPr="005372D1" w:rsidRDefault="00D42DF1" w:rsidP="005372D1">
      <w:pPr>
        <w:widowControl w:val="0"/>
        <w:jc w:val="center"/>
      </w:pPr>
      <w:r w:rsidRPr="005372D1">
        <w:t>высшего образования</w:t>
      </w:r>
    </w:p>
    <w:p w:rsidR="00D42DF1" w:rsidRPr="005372D1" w:rsidRDefault="00D42DF1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D42DF1" w:rsidRPr="005372D1" w:rsidRDefault="00D42DF1" w:rsidP="005372D1">
      <w:pPr>
        <w:widowControl w:val="0"/>
        <w:jc w:val="center"/>
      </w:pPr>
      <w:r w:rsidRPr="005372D1">
        <w:t>(ФГБОУ ВО «ЗабГУ»)</w:t>
      </w:r>
    </w:p>
    <w:p w:rsidR="00D42DF1" w:rsidRDefault="00D42DF1" w:rsidP="005372D1">
      <w:pPr>
        <w:widowControl w:val="0"/>
        <w:spacing w:line="360" w:lineRule="auto"/>
        <w:rPr>
          <w:sz w:val="28"/>
          <w:szCs w:val="28"/>
        </w:rPr>
      </w:pPr>
    </w:p>
    <w:p w:rsidR="00D42DF1" w:rsidRPr="00A06F08" w:rsidRDefault="00D42DF1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A06F08">
        <w:rPr>
          <w:sz w:val="28"/>
          <w:szCs w:val="28"/>
        </w:rPr>
        <w:t>экономики и управления</w:t>
      </w:r>
    </w:p>
    <w:p w:rsidR="00D42DF1" w:rsidRPr="00A06F08" w:rsidRDefault="00D42DF1" w:rsidP="005372D1">
      <w:pPr>
        <w:widowControl w:val="0"/>
        <w:spacing w:line="360" w:lineRule="auto"/>
      </w:pPr>
      <w:r w:rsidRPr="00A06F08">
        <w:rPr>
          <w:sz w:val="28"/>
          <w:szCs w:val="28"/>
        </w:rPr>
        <w:t>Кафедра</w:t>
      </w:r>
      <w:r w:rsidRPr="00A06F08">
        <w:t xml:space="preserve"> </w:t>
      </w:r>
      <w:r w:rsidR="000C5B4B" w:rsidRPr="00A06F08">
        <w:rPr>
          <w:sz w:val="28"/>
          <w:szCs w:val="28"/>
        </w:rPr>
        <w:t>экономики и бухгалтерского учета</w:t>
      </w:r>
    </w:p>
    <w:p w:rsidR="00D42DF1" w:rsidRDefault="00D42DF1" w:rsidP="005372D1">
      <w:pPr>
        <w:widowControl w:val="0"/>
        <w:jc w:val="center"/>
        <w:outlineLvl w:val="0"/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4B70E9" w:rsidRPr="00015B89" w:rsidRDefault="004B70E9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B70E9" w:rsidRDefault="004B70E9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42DF1" w:rsidRDefault="00A06F08" w:rsidP="005372D1">
      <w:pPr>
        <w:widowControl w:val="0"/>
        <w:jc w:val="center"/>
        <w:outlineLvl w:val="0"/>
        <w:rPr>
          <w:sz w:val="28"/>
          <w:szCs w:val="28"/>
        </w:rPr>
      </w:pPr>
      <w:r w:rsidRPr="00A06F08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с ускоренным сроком обучения)</w:t>
      </w: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</w:t>
      </w:r>
      <w:r w:rsidRPr="00A06F08">
        <w:rPr>
          <w:sz w:val="32"/>
          <w:szCs w:val="32"/>
        </w:rPr>
        <w:t>дисциплине «</w:t>
      </w:r>
      <w:r w:rsidR="00A06F08" w:rsidRPr="00A06F08">
        <w:rPr>
          <w:sz w:val="32"/>
          <w:szCs w:val="32"/>
        </w:rPr>
        <w:t>Финансовый менеджмент</w:t>
      </w:r>
      <w:r w:rsidRPr="00A06F08">
        <w:rPr>
          <w:sz w:val="32"/>
          <w:szCs w:val="32"/>
        </w:rPr>
        <w:t>»</w:t>
      </w:r>
    </w:p>
    <w:p w:rsidR="00A06F08" w:rsidRPr="00A06F08" w:rsidRDefault="00A06F08" w:rsidP="005372D1">
      <w:pPr>
        <w:widowControl w:val="0"/>
        <w:jc w:val="center"/>
        <w:rPr>
          <w:i/>
          <w:sz w:val="32"/>
          <w:szCs w:val="32"/>
        </w:rPr>
      </w:pPr>
    </w:p>
    <w:p w:rsidR="00D42DF1" w:rsidRDefault="00D42DF1" w:rsidP="005372D1">
      <w:pPr>
        <w:widowControl w:val="0"/>
        <w:jc w:val="center"/>
        <w:rPr>
          <w:sz w:val="28"/>
          <w:szCs w:val="28"/>
        </w:rPr>
      </w:pPr>
    </w:p>
    <w:p w:rsidR="00A06F08" w:rsidRPr="002C30C8" w:rsidRDefault="00A06F08" w:rsidP="005372D1">
      <w:pPr>
        <w:widowControl w:val="0"/>
        <w:jc w:val="center"/>
        <w:rPr>
          <w:sz w:val="28"/>
          <w:szCs w:val="28"/>
        </w:rPr>
      </w:pPr>
    </w:p>
    <w:p w:rsidR="00D42DF1" w:rsidRPr="00A06F08" w:rsidRDefault="00D42DF1" w:rsidP="005372D1">
      <w:pPr>
        <w:widowControl w:val="0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A06F08">
        <w:rPr>
          <w:sz w:val="28"/>
          <w:szCs w:val="28"/>
        </w:rPr>
        <w:t>38.03.0</w:t>
      </w:r>
      <w:r w:rsidR="0003154B" w:rsidRPr="00A06F08">
        <w:rPr>
          <w:sz w:val="28"/>
          <w:szCs w:val="28"/>
        </w:rPr>
        <w:t>1</w:t>
      </w:r>
      <w:r w:rsidRPr="00A06F08">
        <w:rPr>
          <w:sz w:val="28"/>
          <w:szCs w:val="28"/>
        </w:rPr>
        <w:t xml:space="preserve"> </w:t>
      </w:r>
      <w:r w:rsidR="0003154B" w:rsidRPr="00A06F08">
        <w:rPr>
          <w:sz w:val="28"/>
          <w:szCs w:val="28"/>
        </w:rPr>
        <w:t>Экономика</w:t>
      </w:r>
    </w:p>
    <w:p w:rsid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</w:p>
    <w:p w:rsidR="00D42DF1" w:rsidRP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</w:t>
      </w:r>
      <w:r w:rsidR="000C5B4B" w:rsidRPr="00A06F08">
        <w:rPr>
          <w:sz w:val="28"/>
          <w:szCs w:val="28"/>
        </w:rPr>
        <w:t xml:space="preserve"> Финансы и кредит</w:t>
      </w:r>
    </w:p>
    <w:p w:rsidR="00D42DF1" w:rsidRPr="00A06F08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1F077E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A06F08">
        <w:rPr>
          <w:sz w:val="28"/>
          <w:szCs w:val="28"/>
        </w:rPr>
        <w:t xml:space="preserve"> - </w:t>
      </w:r>
    </w:p>
    <w:p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Курсовая работа (курсовой проект) (КР, КП)</w:t>
      </w:r>
      <w:r>
        <w:rPr>
          <w:sz w:val="28"/>
          <w:szCs w:val="28"/>
        </w:rPr>
        <w:t xml:space="preserve"> - нет</w:t>
      </w:r>
    </w:p>
    <w:p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зачет </w:t>
      </w:r>
    </w:p>
    <w:p w:rsidR="001F077E" w:rsidRPr="00D760FC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Default="00D42DF1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8A1AA3" w:rsidRDefault="008A1AA3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8A1AA3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C01D4">
        <w:rPr>
          <w:sz w:val="28"/>
          <w:szCs w:val="28"/>
        </w:rPr>
        <w:t xml:space="preserve">кономическая сущность финансов предприятия. Сущность и функции финансов, их роль в системе денежных отношений. Особенности финансов предприятий.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Экономическое содержание и назначение финансового менеджмента предприятий. Место и роль финансового менеджмента в системе управления предприятием.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Базовые концепции финансового менеджмента. Финансовый механизм и его структура. Финансовые инструменты.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Основные финансовые коэффициенты.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Организация финансового менеджмента предприятий.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Раскрытие информации и финансовой отчетности.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Методы анализа прогнозирования финансовых показателей.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Производственный и финансовый леверидж.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денежными потоками предприятия. Основные понятия, характеризующие денежный поток. Методы измерения денежных потоков. Анализ потока денежных средств предприятия. Ликвидный денежный поток.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Роль платежного баланса в управление денежным потоком.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капиталом в системе финансового менеджмента. Экономическая природа капитала. Средневзвешенная и предельная стоимость капитала. Модели расчета оптимальной структуры капитала. Управление основным капиталом.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Планирование и амортизация основного капитала. Методы оценки основного капитала.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оборотным капиталом. Управление оборотным капиталом в процессе производственного и финансового циклов. Разработка бюджета оборотных активов.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Управление рисками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:rsidR="00F933B5" w:rsidRPr="00CB565B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344787" w:rsidRDefault="00CE2717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 w:rsidRPr="00344787">
        <w:rPr>
          <w:sz w:val="28"/>
          <w:szCs w:val="28"/>
          <w:lang w:eastAsia="en-US"/>
        </w:rPr>
        <w:t xml:space="preserve">По всем темам практических и лекционных занятий студентов выполняется одна контрольная работа, включающая теоретические вопросы и практические задания </w:t>
      </w:r>
      <w:r w:rsidRPr="00344787">
        <w:rPr>
          <w:bCs/>
          <w:sz w:val="28"/>
          <w:szCs w:val="28"/>
        </w:rPr>
        <w:t xml:space="preserve">по </w:t>
      </w:r>
      <w:r w:rsidR="00D60BA4" w:rsidRPr="00344787">
        <w:rPr>
          <w:bCs/>
          <w:sz w:val="28"/>
          <w:szCs w:val="28"/>
        </w:rPr>
        <w:t>дисциплине</w:t>
      </w:r>
      <w:r w:rsidRPr="00344787">
        <w:rPr>
          <w:bCs/>
          <w:sz w:val="28"/>
          <w:szCs w:val="28"/>
        </w:rPr>
        <w:t xml:space="preserve"> «</w:t>
      </w:r>
      <w:r w:rsidR="00F933B5">
        <w:rPr>
          <w:bCs/>
          <w:sz w:val="28"/>
          <w:szCs w:val="28"/>
        </w:rPr>
        <w:t>Финансовый менеджмент</w:t>
      </w:r>
      <w:r w:rsidRPr="00344787">
        <w:rPr>
          <w:bCs/>
          <w:sz w:val="28"/>
          <w:szCs w:val="28"/>
        </w:rPr>
        <w:t>».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34478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10</w:t>
            </w:r>
          </w:p>
        </w:tc>
      </w:tr>
      <w:tr w:rsidR="00CE2717" w:rsidRPr="00344787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0</w:t>
            </w:r>
          </w:p>
        </w:tc>
      </w:tr>
    </w:tbl>
    <w:p w:rsidR="00CE2717" w:rsidRPr="00344787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При выполнении контрольной работы следует обратить внимание на следующие требования:</w:t>
      </w:r>
    </w:p>
    <w:p w:rsidR="00B514DB" w:rsidRPr="00344787" w:rsidRDefault="00B514DB" w:rsidP="005372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Перед ответом на вопрос или решением задачи следует сформулировать вопрос или условие задачи. Ответ должен быть полным, точно соответствовать поставленному вопросу, расчеты при решении задачи следует приводить полностью.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2</w:t>
      </w:r>
      <w:r w:rsidR="00B514DB" w:rsidRPr="00344787">
        <w:rPr>
          <w:bCs/>
          <w:sz w:val="28"/>
          <w:szCs w:val="28"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3</w:t>
      </w:r>
      <w:r w:rsidR="00B514DB" w:rsidRPr="00344787">
        <w:rPr>
          <w:bCs/>
          <w:sz w:val="28"/>
          <w:szCs w:val="28"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Ссылки на информационные источники оформляются в квадратных скобках ([1, с. 15]). Список информационных источников оформляется в соответствии с ГОСТ Р 7.0.5-2008 «Библиографическая ссылка. Общие требования и правила составления».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4. Студенты допускаются к сдаче экзамена по курсу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 только после получения ими положительной оценки по контрольной работе.</w:t>
      </w:r>
    </w:p>
    <w:p w:rsidR="00422157" w:rsidRPr="00344787" w:rsidRDefault="0042215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1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Цели и задачи и функции финансового менеджмента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Баланс доходов и  расходов организации, разработанный на ряд лет, исходя из целей финансовой стратегии предприятия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оперативный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Для каких групп потребителей необходим финансовый анализ предприятия?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менеджерам организации и собственникам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поставщикам, кредиторам и инвесторам.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покупателям, налоговой инспекции.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менеджерам, собственникам, поставщикам, кредиторам, инвесторам.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4.Какие бывают виды финансовых рисков: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связанные с покупательной способностью денег и с вложением капитала;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связанные с покупательной способностью денег и с конкурентоспособностью;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связанные с вложением капитала и конкурентоспособностью.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Акционерное общество выпустило 15% облигации  на  сумму  120  тыс.  руб., привилегированные акции на сумму 30 тыс. руб. с фиксированным дивидендом  25%  и обыкновенные акции на сумму 150 тыс. руб. Определить уровень финансового левериджа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2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менеджмент как система управления.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Что относится к этапам финансового планирования: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финансовых показателей за предыдущий год;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долгосрочное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оперативное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Когда все финансовые показатели отчетного периода сравниваются с плановыми или с показателями предыдущего периода, то это метод: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ценных поставок.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При каком риске предприниматель несет реальные потери с точки зрения покупательской способности: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дефляционный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инфляционный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упущенной выгоды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Имеется два варианта вложения капитала. По первому варианту при вложении 20 тыс. руб. доход через год составил 20 тыс. руб.</w:t>
      </w:r>
      <w:r w:rsidR="0018071E">
        <w:rPr>
          <w:sz w:val="28"/>
          <w:szCs w:val="28"/>
        </w:rPr>
        <w:t>,</w:t>
      </w:r>
      <w:r w:rsidRPr="009C0590">
        <w:rPr>
          <w:sz w:val="28"/>
          <w:szCs w:val="28"/>
        </w:rPr>
        <w:t xml:space="preserve"> по второму варианту при вложении 20 тыс. руб. доход через три месяца  выразится в 30%.  Какой вариант выгоднее.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3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1.Инвестирование капитала и его виды.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2.План, состоящий из плана прибылей и убытков, плана движения денежных средств, плана бухгалтерского баланса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перспективный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При этом  методе  происходит  замена  отдельного  показателя  за  отчетный  период базисным показателем, то это метод: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ценных поставок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4.Риск, связанный с возможностью потерь при реализации ценных бумаг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валютный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риск снижения доходности;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5.Задача. </w:t>
      </w:r>
    </w:p>
    <w:p w:rsidR="009C0590" w:rsidRPr="009C0590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Дивиденд равен</w:t>
      </w:r>
      <w:r w:rsidR="009C0590" w:rsidRPr="009C0590">
        <w:rPr>
          <w:sz w:val="28"/>
          <w:szCs w:val="28"/>
        </w:rPr>
        <w:t xml:space="preserve"> 60%, банковский процент – 40%. Номинальная стоимость акции </w:t>
      </w:r>
      <w:r>
        <w:rPr>
          <w:sz w:val="28"/>
          <w:szCs w:val="28"/>
        </w:rPr>
        <w:t>–</w:t>
      </w:r>
      <w:r w:rsidR="009C0590" w:rsidRPr="009C0590">
        <w:rPr>
          <w:sz w:val="28"/>
          <w:szCs w:val="28"/>
        </w:rPr>
        <w:t xml:space="preserve"> 1 руб. Определить курс акций и рыночная стоимость акций.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4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1.Финансовый механизм и его структура.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2.Метод, помогающий сбалансировать источники ресурсов с запланированными расходами: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Этот метод дает возможность проведения аналитических расчетов, выявления факторов, влияющих на изменения показателей, которые сводятся в таблицы. Это метод: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ценных постановок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 рискам прямых финансовых потерь относятся: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селективный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банкротства;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вышеперечисленные.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Чистая прибыль ЗАО за год составила 500 тыс. руб. Количество оплаченных акций 10 тыс. р</w:t>
      </w:r>
      <w:r w:rsidR="0018071E">
        <w:rPr>
          <w:sz w:val="28"/>
          <w:szCs w:val="28"/>
        </w:rPr>
        <w:t>уб. Средняя ставка ЦБ.</w:t>
      </w:r>
      <w:r w:rsidRPr="009C0590">
        <w:rPr>
          <w:sz w:val="28"/>
          <w:szCs w:val="28"/>
        </w:rPr>
        <w:t xml:space="preserve"> России по кредитам 60 %  годовых.  Определить  расчетную курсовую стоимость акций.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5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1.Финансовые ресурсы и капитал.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2.Часть плана, которая рассчитывается с учетом показателей роста прибыли, активов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доходная и расходная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расходная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Анализ, предназначенный для общей характеристики финансовых показателей организации, определения их динамики и отклонений за отчетный период – это 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доходности.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анализ финансовой устойчивости.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анализ кредитоспособности.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анализ самофинансирования.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Опасность в результате неправильного выбора вложения капитала и неспособность рассчитаться по взятым на себя обязательствам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 организации;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селективный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риск банкротства.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Текущая сумма денег 100  ыс.  руб. Определите будущую стоимость денег через  4 периода, если ставка (простая) составляет 15% за период.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6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Виды финансовых планов.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Какой  план  включает  в  себя  маркетинговый  план,  план  производства,  план  по трудовым ресурсам: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 зависимости от скорости превращения, на какие группы делятся  активы организации: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наиболее ликвидные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быстрореализуемые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медленно и трудно реализуемые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перечисленные.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Значение величины события, которое связано с неопределенной ситуацией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колеблемость возможного результата;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среднее ожидаемое значение;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вероятность наступления события.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Какую покупательскую способность будут иметь 2000 руб. через 2 года, если уровень инфляции в первый год составил 10%, а во второй год 30%.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7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Оценка финансового положения и перспектива развития организации.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Планирование объема  реализации  и прибыли, составление финансового плана, определение уровня платежеспособности организации на планируемый год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финансовый анализ;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финансовый менеджмент;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финансовый риск.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Отношение денежных средств к сумме кредиторской задолженности и краткосрочных кредитов и займов, характеризует: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коэффициент текущей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коэффициент абсолютной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коэффициент маневренности.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коэффициент финансирования.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4.Оставление риска на ответственности инвестора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удержание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избежание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передача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страхование риска.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Акционерное общество выпустило 10  % - ные облигации  на  сумму 100 тыс. руб., привилегированные акции на сумму – 20 тыс. руб. и обыкновенные акции на сумму 200 тыс. руб. Определить уровень финансового левериджа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8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Показатели платежеспособности и финансовой устойчивости организации.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Обеспечение  необходимых  пропорций  при  разделении  и  использовании  денежных ресурсов, относится к: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этапам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задачам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методам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видам финансового планирования.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3. Способность организации своевременно и полностью рассчитаться по своим долгам - это: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кредитоспособность.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неплатежеспособность.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Рассеивание инвестиционного риска 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страхование;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диверсификация;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лимитирование.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Инвестор купил привилегированные акции, за 3 руб. номинал которой, 1 руб.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Установленный размер дивиденда по ней 300 %. Минимальное значение нормы прибыли – 0,9. Определить рыночную стоимость данной акции.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9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Ценные бумаги и их виды.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Какой план состоит из прогноза прибыли и  убытков, движения денежных средств, бухгалтерского баланса: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Величина  обратная  количеству  времени,  которое  необходимо  для  превращения активов в деньги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 активов.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кредитоспособность.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Установление предельных сумм расходов, продажи, кредита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диверсификация;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страхование;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лимитирование.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Банк выпустил сберегательные сертификаты со сроком погашения на 6 месяцев  и номиналом – 2000 руб., которые продаются по  цене 1350  руб. при погашении данного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сертификата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выплачивается его номинальная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стоимость.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Определить доход за 6 месяцев в рублях и процентах и за год.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10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риск как объект управления.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Использование соответствующих коэффициентов относительно результатов определенного промежутка времени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Функция  хозяйствующего  субъекта – производить и  реализовывать  продукцию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«каш флоу» от производственной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«каш флоу» от инвестиционной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«каш флоу» от финансовой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Система управления риском и экономическими отношениями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финансовые риски;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секьюритизация;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риск-менеджмент;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каш-флоу.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5.Задача.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Банк предлагает 40% годовых. Каков должен быть первоначальный вклад, чтобы через 4 года иметь на счете 100 тыс. руб.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промежуточного контроля  </w:t>
      </w:r>
    </w:p>
    <w:p w:rsidR="00B514DB" w:rsidRPr="00344787" w:rsidRDefault="000B586B" w:rsidP="005372D1">
      <w:pPr>
        <w:widowControl w:val="0"/>
        <w:spacing w:after="120"/>
        <w:ind w:firstLine="728"/>
        <w:rPr>
          <w:sz w:val="28"/>
          <w:szCs w:val="28"/>
        </w:rPr>
      </w:pPr>
      <w:r w:rsidRPr="00344787">
        <w:rPr>
          <w:sz w:val="28"/>
          <w:szCs w:val="28"/>
        </w:rPr>
        <w:t>Формой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FE739A">
        <w:rPr>
          <w:sz w:val="28"/>
          <w:szCs w:val="28"/>
        </w:rPr>
        <w:t>зачет</w:t>
      </w:r>
      <w:r w:rsidRPr="00344787">
        <w:rPr>
          <w:sz w:val="28"/>
          <w:szCs w:val="28"/>
        </w:rPr>
        <w:t>.</w:t>
      </w:r>
    </w:p>
    <w:p w:rsidR="000B586B" w:rsidRPr="00344787" w:rsidRDefault="000B586B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9C0590">
        <w:rPr>
          <w:b/>
          <w:sz w:val="28"/>
          <w:szCs w:val="28"/>
        </w:rPr>
        <w:t>зачету</w:t>
      </w:r>
    </w:p>
    <w:p w:rsidR="00697359" w:rsidRPr="00344787" w:rsidRDefault="00697359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Содержание финансового менеджмента и его место в системе управления организацией. Цель и задачи финансового менеджмента.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Базовые концепции финансового менеджмента.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Финансовые инструменты.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Внешняя – правовая и налоговая – среда.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Информационное обеспечение финансового менеджмента.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Методологические основы принятия финансовых решений.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Денежные потоки и методы их оценки.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Методы оценки финансовых активов.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финансовых активов.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портфельных инвестиций.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инвестициями.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Оценка эффективности и риска инвестиционных проектов.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Формирование бюджета капиталовложений.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Инвестиционная политика.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источниками долгосрочного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Цена и структура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Средневзвешенная и предельная цена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Теории структуры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собственным капиталом.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Темп устойчивого роста.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Производственный и финансовый леверидж.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Дивидендная политика.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Стоимость бизнеса.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оборотным капиталом.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Политика в области оборотного капитала.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запасами.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Управление дебиторской задолженностью (кредитная политика).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денежными средствами и их эквивалентами.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краткосрочного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источниками финансирования оборотного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Финансовое планирование и прогнозирование.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Стратегическое, долгосрочное и краткосрочное финансовое планирование.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Финансовая стратегия.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Методы прогнозирования основных финансовых показателей. 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Специальные вопросы финансового менеджмента.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Финансовый менеджмент в условиях инфляции.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Банкротство и финансовая реструктуризация. Антикризисное управление.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Международные аспекты финансового менеджмента.</w:t>
      </w:r>
    </w:p>
    <w:p w:rsidR="000B586B" w:rsidRPr="00344787" w:rsidRDefault="002247F2" w:rsidP="002247F2">
      <w:pPr>
        <w:widowControl w:val="0"/>
        <w:tabs>
          <w:tab w:val="left" w:pos="754"/>
        </w:tabs>
        <w:ind w:firstLine="754"/>
        <w:jc w:val="both"/>
        <w:rPr>
          <w:b/>
          <w:sz w:val="28"/>
          <w:szCs w:val="28"/>
        </w:rPr>
      </w:pPr>
      <w:r w:rsidRPr="002247F2">
        <w:rPr>
          <w:kern w:val="1"/>
          <w:sz w:val="28"/>
          <w:szCs w:val="28"/>
          <w:lang w:eastAsia="ar-SA"/>
        </w:rPr>
        <w:t>Факторный анализ прибыли предприятия</w:t>
      </w:r>
    </w:p>
    <w:p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Печатные издания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 xml:space="preserve">Тихомиров Евгений Федорович. Финансовый менеджмент: Управление финансами предприятия : учеб. для студ. вузов / Тихомиров Евгений Федорович. - 3-е изд., испр. и доп. - Москва : Академия, 2010. - 384 с. - ISBN 978-5-7695-7047-6 : 421-30.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2. Басовский, Л.Е. Финансовый менеджмент: учебник / Л. Е. Басовский. – Москва: Инфра-М, 2009. – 240 с.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3. Финансовый менеджмент : учебник / под ред. Г.Б. Поляка. - 2-е изд., перераб. и доп. - Москва : ЮНИТИ-ДАНА, 2007. - 527 с. - ISBN 5-85173-079-Х : 230-00. </w:t>
      </w:r>
    </w:p>
    <w:p w:rsidR="00412D59" w:rsidRPr="00412D59" w:rsidRDefault="00412D59" w:rsidP="00412D59">
      <w:pPr>
        <w:spacing w:line="360" w:lineRule="auto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Издания из ЭБС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1. Поляк, Георгий Борисович. Финансовый менеджмент : Учебник / Поляк Георгий Борисович; Поляк Г.Б. - Отв. ред. - 4-е изд. - М. : Издательство Юрайт, 2016. - 456. - (Бакалавр. Академический курс). - ISBN 978-5-9916-4395-5 : 135.95. </w:t>
      </w:r>
      <w:hyperlink r:id="rId8" w:history="1">
        <w:r w:rsidRPr="00F67105">
          <w:rPr>
            <w:rStyle w:val="ac"/>
            <w:sz w:val="28"/>
            <w:szCs w:val="28"/>
          </w:rPr>
          <w:t>https://www.biblioonline.ru/book/0C4CB951-B2D9-412C-A216-3EA20CB4FFCF 6</w:t>
        </w:r>
      </w:hyperlink>
      <w:r w:rsidRPr="008A742C">
        <w:rPr>
          <w:sz w:val="28"/>
          <w:szCs w:val="28"/>
        </w:rPr>
        <w:t>.</w:t>
      </w:r>
    </w:p>
    <w:p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Дополнительная литература </w:t>
      </w:r>
    </w:p>
    <w:p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Печатные издания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 xml:space="preserve">Финансовый менеджмент. Практикум: учеб. пособие / Берзон Николай Иосифович [и др.]; под ред. Н.И. Берзона. – Москва: Академия, 2011. – 240 с. </w:t>
      </w:r>
    </w:p>
    <w:p w:rsidR="00C735A8" w:rsidRPr="00412D59" w:rsidRDefault="00412D59" w:rsidP="00412D5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2D59">
        <w:rPr>
          <w:sz w:val="28"/>
          <w:szCs w:val="28"/>
        </w:rPr>
        <w:t>2. Сокол-Номоконова, Ольга Владимировна. Финансовый менеджмент: управление инвестициями : учеб. пособие / СоколНомоконова Ольга Владимировна, Малышев Евгений Анатольевич, Афанасьева Анастасия Валерьевна. - Чита : ЧитГУ, 2011. - 185 с. - ISBN 978-5-9293-0596-2 : 124- 00.</w:t>
      </w:r>
      <w:r w:rsidR="00C735A8" w:rsidRPr="00412D59">
        <w:rPr>
          <w:sz w:val="28"/>
          <w:szCs w:val="28"/>
        </w:rPr>
        <w:t xml:space="preserve"> </w:t>
      </w:r>
    </w:p>
    <w:p w:rsidR="00C735A8" w:rsidRPr="00344787" w:rsidRDefault="00C735A8" w:rsidP="005372D1">
      <w:pPr>
        <w:pStyle w:val="21"/>
        <w:widowControl w:val="0"/>
        <w:spacing w:before="240" w:after="240"/>
        <w:ind w:left="709" w:firstLine="0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Информационно-правовой портал «КонсультантПлюс» (адрес доступа: </w:t>
      </w:r>
      <w:hyperlink r:id="rId9" w:history="1">
        <w:r w:rsidRPr="00344787">
          <w:rPr>
            <w:rStyle w:val="ac"/>
            <w:sz w:val="28"/>
            <w:szCs w:val="28"/>
          </w:rPr>
          <w:t>http://www.consultant.</w:t>
        </w:r>
        <w:r w:rsidRPr="00344787">
          <w:rPr>
            <w:rStyle w:val="ac"/>
            <w:sz w:val="28"/>
            <w:szCs w:val="28"/>
            <w:lang w:val="en-US"/>
          </w:rPr>
          <w:t>r</w:t>
        </w:r>
        <w:r w:rsidRPr="00344787">
          <w:rPr>
            <w:rStyle w:val="ac"/>
            <w:sz w:val="28"/>
            <w:szCs w:val="28"/>
          </w:rPr>
          <w:t>u</w:t>
        </w:r>
      </w:hyperlink>
      <w:r w:rsidRPr="00344787">
        <w:rPr>
          <w:sz w:val="28"/>
          <w:szCs w:val="28"/>
        </w:rPr>
        <w:t>)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44787">
        <w:rPr>
          <w:sz w:val="28"/>
          <w:szCs w:val="28"/>
        </w:rPr>
        <w:t xml:space="preserve"> Информационно-правовой портал «ГАРАНТ.РУ» (адрес доступа: </w:t>
      </w:r>
      <w:hyperlink r:id="rId10" w:history="1">
        <w:r w:rsidRPr="00344787">
          <w:rPr>
            <w:rStyle w:val="ac"/>
            <w:sz w:val="28"/>
            <w:szCs w:val="28"/>
          </w:rPr>
          <w:t>http://www.garant.ru</w:t>
        </w:r>
      </w:hyperlink>
      <w:r w:rsidRPr="00344787">
        <w:rPr>
          <w:sz w:val="28"/>
          <w:szCs w:val="28"/>
        </w:rPr>
        <w:t xml:space="preserve"> )</w:t>
      </w:r>
    </w:p>
    <w:p w:rsidR="00C735A8" w:rsidRDefault="00C735A8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514DB" w:rsidRDefault="00B514DB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1F077E" w:rsidRPr="002C30C8" w:rsidRDefault="001F077E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Преподаватель </w:t>
      </w:r>
      <w:r w:rsidR="00422157" w:rsidRPr="00344787">
        <w:rPr>
          <w:sz w:val="28"/>
          <w:szCs w:val="28"/>
        </w:rPr>
        <w:t xml:space="preserve">___________ </w:t>
      </w:r>
      <w:r w:rsidR="00344787">
        <w:rPr>
          <w:sz w:val="28"/>
          <w:szCs w:val="28"/>
        </w:rPr>
        <w:t xml:space="preserve"> Т.И. Кашурникова </w:t>
      </w:r>
      <w:r w:rsidR="00422157" w:rsidRPr="00344787">
        <w:rPr>
          <w:sz w:val="28"/>
          <w:szCs w:val="28"/>
        </w:rPr>
        <w:t xml:space="preserve"> </w:t>
      </w:r>
    </w:p>
    <w:p w:rsidR="00B514DB" w:rsidRPr="00344787" w:rsidRDefault="00B514DB" w:rsidP="005372D1">
      <w:pPr>
        <w:widowControl w:val="0"/>
        <w:ind w:left="2832" w:hanging="564"/>
        <w:jc w:val="both"/>
        <w:rPr>
          <w:sz w:val="28"/>
          <w:szCs w:val="28"/>
          <w:vertAlign w:val="superscript"/>
        </w:rPr>
      </w:pPr>
      <w:r w:rsidRPr="00344787">
        <w:rPr>
          <w:sz w:val="28"/>
          <w:szCs w:val="28"/>
          <w:vertAlign w:val="superscript"/>
        </w:rPr>
        <w:t>подпись</w:t>
      </w: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Заведующий кафедрой</w:t>
      </w:r>
      <w:r w:rsidR="00344787">
        <w:rPr>
          <w:sz w:val="28"/>
          <w:szCs w:val="28"/>
        </w:rPr>
        <w:t xml:space="preserve"> ЭиБУ</w:t>
      </w:r>
      <w:r w:rsidRPr="00344787">
        <w:rPr>
          <w:sz w:val="28"/>
          <w:szCs w:val="28"/>
        </w:rPr>
        <w:t xml:space="preserve"> ___________ </w:t>
      </w:r>
      <w:r w:rsidR="00344787">
        <w:rPr>
          <w:sz w:val="28"/>
          <w:szCs w:val="28"/>
        </w:rPr>
        <w:t>В.Н. Гонин</w:t>
      </w:r>
    </w:p>
    <w:p w:rsidR="00B514DB" w:rsidRPr="00344787" w:rsidRDefault="00494C28" w:rsidP="005372D1">
      <w:pPr>
        <w:widowControl w:val="0"/>
        <w:ind w:left="2832" w:firstLine="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="00B514DB" w:rsidRPr="00344787">
        <w:rPr>
          <w:sz w:val="28"/>
          <w:szCs w:val="28"/>
          <w:vertAlign w:val="superscript"/>
        </w:rPr>
        <w:t>подпись</w:t>
      </w:r>
    </w:p>
    <w:p w:rsidR="0018072F" w:rsidRPr="00344787" w:rsidRDefault="0018072F" w:rsidP="005372D1">
      <w:pPr>
        <w:widowControl w:val="0"/>
        <w:rPr>
          <w:sz w:val="28"/>
          <w:szCs w:val="28"/>
        </w:rPr>
      </w:pPr>
    </w:p>
    <w:sectPr w:rsidR="0018072F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7" w:rsidRDefault="003B1517">
      <w:r>
        <w:separator/>
      </w:r>
    </w:p>
  </w:endnote>
  <w:endnote w:type="continuationSeparator" w:id="0">
    <w:p w:rsidR="003B1517" w:rsidRDefault="003B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7" w:rsidRDefault="003B1517">
      <w:r>
        <w:separator/>
      </w:r>
    </w:p>
  </w:footnote>
  <w:footnote w:type="continuationSeparator" w:id="0">
    <w:p w:rsidR="003B1517" w:rsidRDefault="003B1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6FD6"/>
    <w:multiLevelType w:val="hybridMultilevel"/>
    <w:tmpl w:val="4FD05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2DF1"/>
    <w:rsid w:val="0003154B"/>
    <w:rsid w:val="000421B5"/>
    <w:rsid w:val="000B586B"/>
    <w:rsid w:val="000C5B4B"/>
    <w:rsid w:val="00103986"/>
    <w:rsid w:val="00110864"/>
    <w:rsid w:val="0013347A"/>
    <w:rsid w:val="0018071E"/>
    <w:rsid w:val="0018072F"/>
    <w:rsid w:val="001F077E"/>
    <w:rsid w:val="002070F6"/>
    <w:rsid w:val="002247F2"/>
    <w:rsid w:val="00290C5E"/>
    <w:rsid w:val="002E1564"/>
    <w:rsid w:val="00317120"/>
    <w:rsid w:val="00344787"/>
    <w:rsid w:val="003B1517"/>
    <w:rsid w:val="003B67AE"/>
    <w:rsid w:val="003E7BDE"/>
    <w:rsid w:val="00412D59"/>
    <w:rsid w:val="00422157"/>
    <w:rsid w:val="00432A90"/>
    <w:rsid w:val="00453A09"/>
    <w:rsid w:val="00465487"/>
    <w:rsid w:val="00494C28"/>
    <w:rsid w:val="004B70E9"/>
    <w:rsid w:val="004E40D4"/>
    <w:rsid w:val="00526D2B"/>
    <w:rsid w:val="005372D1"/>
    <w:rsid w:val="0054678C"/>
    <w:rsid w:val="006064F3"/>
    <w:rsid w:val="00614C21"/>
    <w:rsid w:val="00615FAB"/>
    <w:rsid w:val="00697359"/>
    <w:rsid w:val="006A73BB"/>
    <w:rsid w:val="006B338A"/>
    <w:rsid w:val="007038F7"/>
    <w:rsid w:val="007118E7"/>
    <w:rsid w:val="008A1AA3"/>
    <w:rsid w:val="00924EBF"/>
    <w:rsid w:val="00954313"/>
    <w:rsid w:val="00992D57"/>
    <w:rsid w:val="009C0590"/>
    <w:rsid w:val="009D23DE"/>
    <w:rsid w:val="00A050C9"/>
    <w:rsid w:val="00A06F08"/>
    <w:rsid w:val="00B514DB"/>
    <w:rsid w:val="00B95F54"/>
    <w:rsid w:val="00C146D2"/>
    <w:rsid w:val="00C735A8"/>
    <w:rsid w:val="00CE2717"/>
    <w:rsid w:val="00CE6B4B"/>
    <w:rsid w:val="00D21A00"/>
    <w:rsid w:val="00D42DF1"/>
    <w:rsid w:val="00D60BA4"/>
    <w:rsid w:val="00DE4CBB"/>
    <w:rsid w:val="00E5714A"/>
    <w:rsid w:val="00EA4E35"/>
    <w:rsid w:val="00EB2C52"/>
    <w:rsid w:val="00F31942"/>
    <w:rsid w:val="00F933B5"/>
    <w:rsid w:val="00FC2159"/>
    <w:rsid w:val="00FE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online.ru/book/0C4CB951-B2D9-412C-A216-3EA20CB4FFCF%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2437</Words>
  <Characters>13892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МИНИСТЕРСТВО ОБРАЗОВАНИЯ И НАУКИ РОССИЙСКОЙ ФЕДЕРАЦИИ</vt:lpstr>
      <vt:lpstr/>
      <vt:lpstr/>
      <vt:lpstr/>
      <vt:lpstr/>
      <vt:lpstr>УЧЕБНЫЕ МАТЕРИАЛЫ </vt:lpstr>
      <vt:lpstr>для студентов заочной формы обучения</vt:lpstr>
      <vt:lpstr>(с ускоренным сроком обучения)</vt:lpstr>
      <vt:lpstr/>
      <vt:lpstr/>
      <vt:lpstr/>
      <vt:lpstr>для направления подготовки 38.03.01 Экономика</vt:lpstr>
      <vt:lpstr/>
      <vt:lpstr>Направленность ОП: Финансы и кредит</vt:lpstr>
      <vt:lpstr>Задания к контрольной работе по вариантам</vt:lpstr>
      <vt:lpstr>    </vt:lpstr>
    </vt:vector>
  </TitlesOfParts>
  <Company/>
  <LinksUpToDate>false</LinksUpToDate>
  <CharactersWithSpaces>16297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KashurnikovaTI</cp:lastModifiedBy>
  <cp:revision>2</cp:revision>
  <dcterms:created xsi:type="dcterms:W3CDTF">2018-09-18T05:13:00Z</dcterms:created>
  <dcterms:modified xsi:type="dcterms:W3CDTF">2018-09-18T05:13:00Z</dcterms:modified>
</cp:coreProperties>
</file>