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bookmarkStart w:id="0" w:name="_GoBack"/>
      <w:bookmarkEnd w:id="0"/>
      <w:r w:rsidR="00AC4536">
        <w:rPr>
          <w:rFonts w:ascii="Times New Roman" w:hAnsi="Times New Roman" w:cs="Times New Roman"/>
          <w:sz w:val="28"/>
          <w:szCs w:val="28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 w:rsidRPr="00C50205">
        <w:rPr>
          <w:rFonts w:ascii="Times New Roman" w:hAnsi="Times New Roman" w:cs="Times New Roman"/>
          <w:sz w:val="28"/>
          <w:szCs w:val="28"/>
          <w:u w:val="single"/>
        </w:rPr>
        <w:t>Бу</w:t>
      </w:r>
      <w:r w:rsidR="00AC4536">
        <w:rPr>
          <w:rFonts w:ascii="Times New Roman" w:hAnsi="Times New Roman" w:cs="Times New Roman"/>
          <w:sz w:val="28"/>
          <w:szCs w:val="28"/>
          <w:u w:val="single"/>
        </w:rPr>
        <w:t>хгалтерский учет, анализ и аудит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536" w:rsidRDefault="00AC453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7E5E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5B7E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75C6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FE4B9B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E4B9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E775C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FE4B9B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FE4B9B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E5E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9161CF"/>
    <w:rsid w:val="00923F96"/>
    <w:rsid w:val="00944B60"/>
    <w:rsid w:val="009507B5"/>
    <w:rsid w:val="009D5B60"/>
    <w:rsid w:val="00A472C1"/>
    <w:rsid w:val="00AC102C"/>
    <w:rsid w:val="00AC4536"/>
    <w:rsid w:val="00BC73CE"/>
    <w:rsid w:val="00C40A17"/>
    <w:rsid w:val="00C50205"/>
    <w:rsid w:val="00CD337F"/>
    <w:rsid w:val="00D47B9F"/>
    <w:rsid w:val="00D74F55"/>
    <w:rsid w:val="00DC4181"/>
    <w:rsid w:val="00E240C1"/>
    <w:rsid w:val="00E52D59"/>
    <w:rsid w:val="00E775C6"/>
    <w:rsid w:val="00EB0466"/>
    <w:rsid w:val="00F333C2"/>
    <w:rsid w:val="00F8074D"/>
    <w:rsid w:val="00FE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7820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8</cp:revision>
  <dcterms:created xsi:type="dcterms:W3CDTF">2015-10-08T04:19:00Z</dcterms:created>
  <dcterms:modified xsi:type="dcterms:W3CDTF">2020-12-01T10:25:00Z</dcterms:modified>
</cp:coreProperties>
</file>