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69" w:rsidRPr="006C4469" w:rsidRDefault="006C4469" w:rsidP="006C44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4469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6C4469" w:rsidRPr="006C4469" w:rsidRDefault="006C4469" w:rsidP="006C44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46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C4469" w:rsidRPr="006C4469" w:rsidRDefault="006C4469" w:rsidP="006C44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46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C4469" w:rsidRPr="006C4469" w:rsidRDefault="006C4469" w:rsidP="006C44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469">
        <w:rPr>
          <w:rFonts w:ascii="Times New Roman" w:hAnsi="Times New Roman" w:cs="Times New Roman"/>
          <w:sz w:val="24"/>
          <w:szCs w:val="24"/>
        </w:rPr>
        <w:t xml:space="preserve">«Забайкальский государственный университет» </w:t>
      </w:r>
    </w:p>
    <w:p w:rsidR="006C4469" w:rsidRPr="006C4469" w:rsidRDefault="006C4469" w:rsidP="006C44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469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6C4469" w:rsidRPr="006C4469" w:rsidRDefault="006C4469" w:rsidP="006C4469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6C4469">
        <w:rPr>
          <w:sz w:val="24"/>
          <w:szCs w:val="24"/>
        </w:rPr>
        <w:t>Факультет социологический</w:t>
      </w:r>
    </w:p>
    <w:p w:rsidR="006C4469" w:rsidRPr="006C4469" w:rsidRDefault="006C4469" w:rsidP="006C4469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6C4469">
        <w:rPr>
          <w:sz w:val="24"/>
          <w:szCs w:val="24"/>
        </w:rPr>
        <w:t>Кафедра социальной работы</w:t>
      </w:r>
    </w:p>
    <w:p w:rsidR="00721EB7" w:rsidRPr="00C16203" w:rsidRDefault="00721EB7" w:rsidP="0072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EB7" w:rsidRDefault="00721EB7" w:rsidP="00721EB7">
      <w:pPr>
        <w:outlineLvl w:val="0"/>
        <w:rPr>
          <w:rFonts w:ascii="Times New Roman" w:hAnsi="Times New Roman" w:cs="Times New Roman"/>
          <w:sz w:val="40"/>
          <w:szCs w:val="40"/>
        </w:rPr>
      </w:pPr>
    </w:p>
    <w:p w:rsidR="00721EB7" w:rsidRPr="00C16203" w:rsidRDefault="00721EB7" w:rsidP="00721EB7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C16203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721EB7" w:rsidRDefault="00721EB7" w:rsidP="00721EB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21EB7" w:rsidRPr="00C16203" w:rsidRDefault="00721EB7" w:rsidP="00C1620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16203">
        <w:rPr>
          <w:rFonts w:ascii="Times New Roman" w:hAnsi="Times New Roman" w:cs="Times New Roman"/>
          <w:sz w:val="32"/>
          <w:szCs w:val="32"/>
          <w:u w:val="single"/>
        </w:rPr>
        <w:t xml:space="preserve">по  </w:t>
      </w:r>
      <w:r w:rsidR="00CC0AA5" w:rsidRPr="00C16203">
        <w:rPr>
          <w:rFonts w:ascii="Times New Roman" w:hAnsi="Times New Roman" w:cs="Times New Roman"/>
          <w:sz w:val="32"/>
          <w:szCs w:val="32"/>
          <w:u w:val="single"/>
        </w:rPr>
        <w:t xml:space="preserve">дисциплине </w:t>
      </w:r>
      <w:r w:rsidR="00C16203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CC0AA5" w:rsidRPr="00C16203">
        <w:rPr>
          <w:rFonts w:ascii="Times New Roman" w:hAnsi="Times New Roman" w:cs="Times New Roman"/>
          <w:sz w:val="32"/>
          <w:szCs w:val="32"/>
          <w:u w:val="single"/>
        </w:rPr>
        <w:t>Социальная политика</w:t>
      </w:r>
      <w:r w:rsidRPr="00C16203">
        <w:rPr>
          <w:rFonts w:ascii="Times New Roman" w:hAnsi="Times New Roman" w:cs="Times New Roman"/>
          <w:sz w:val="32"/>
          <w:szCs w:val="32"/>
          <w:u w:val="single"/>
        </w:rPr>
        <w:t xml:space="preserve"> в регионе</w:t>
      </w:r>
      <w:r w:rsidR="00C16203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721EB7" w:rsidRDefault="00721EB7" w:rsidP="00C1620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дисциплины (модуля)</w:t>
      </w:r>
    </w:p>
    <w:p w:rsidR="00CC0AA5" w:rsidRDefault="00CC0AA5" w:rsidP="00721EB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0AA5" w:rsidRPr="00C16203" w:rsidRDefault="00CC0AA5" w:rsidP="00C1620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16203">
        <w:rPr>
          <w:rFonts w:ascii="Times New Roman" w:hAnsi="Times New Roman" w:cs="Times New Roman"/>
          <w:sz w:val="28"/>
          <w:szCs w:val="28"/>
          <w:u w:val="single"/>
        </w:rPr>
        <w:t xml:space="preserve">для направления подготовки (специальности)  39.03.02 (040400.62) </w:t>
      </w:r>
      <w:r w:rsidR="00C162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16203">
        <w:rPr>
          <w:rFonts w:ascii="Times New Roman" w:hAnsi="Times New Roman" w:cs="Times New Roman"/>
          <w:sz w:val="28"/>
          <w:szCs w:val="28"/>
          <w:u w:val="single"/>
        </w:rPr>
        <w:t>Социальная работа</w:t>
      </w:r>
      <w:r w:rsidR="00C1620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1620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1EB7" w:rsidRPr="00C16203" w:rsidRDefault="00CC0AA5" w:rsidP="00C1620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6203">
        <w:rPr>
          <w:rFonts w:ascii="Times New Roman" w:hAnsi="Times New Roman" w:cs="Times New Roman"/>
          <w:sz w:val="28"/>
          <w:szCs w:val="28"/>
          <w:u w:val="single"/>
        </w:rPr>
        <w:t xml:space="preserve">Профиль: </w:t>
      </w:r>
      <w:r w:rsidR="00C162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16203">
        <w:rPr>
          <w:rFonts w:ascii="Times New Roman" w:hAnsi="Times New Roman" w:cs="Times New Roman"/>
          <w:sz w:val="28"/>
          <w:szCs w:val="28"/>
          <w:u w:val="single"/>
        </w:rPr>
        <w:t>Социальная работа в различных сферах жизнедеятельности</w:t>
      </w:r>
      <w:r w:rsidR="00C1620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21EB7" w:rsidRPr="00C16203" w:rsidRDefault="00721EB7" w:rsidP="00C162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C1620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код и наименование направления подготовки (специальности)</w:t>
      </w:r>
    </w:p>
    <w:p w:rsidR="00CC0AA5" w:rsidRDefault="00CC0AA5" w:rsidP="00C1620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1EB7" w:rsidRPr="0037120B" w:rsidRDefault="00721EB7" w:rsidP="0037120B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721EB7" w:rsidTr="00436EAC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21EB7" w:rsidTr="00436EA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B7" w:rsidTr="00436E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EB7" w:rsidTr="00436EA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EB7" w:rsidRDefault="00721EB7" w:rsidP="0043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1EB7" w:rsidTr="00436EA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EB7" w:rsidRDefault="00721EB7" w:rsidP="0043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1EB7" w:rsidTr="00436EA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EB7" w:rsidRDefault="00721EB7" w:rsidP="00436E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EB7" w:rsidTr="00436EA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EB7" w:rsidRDefault="00721EB7" w:rsidP="00436E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EB7" w:rsidTr="00436EA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EB7" w:rsidRDefault="00721EB7" w:rsidP="00436E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B7" w:rsidTr="00436EA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EB7" w:rsidRDefault="00721EB7" w:rsidP="0043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1EB7" w:rsidTr="00436EA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EB7" w:rsidRDefault="00721EB7" w:rsidP="0043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B7" w:rsidTr="00436EA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EB7" w:rsidRDefault="00721EB7" w:rsidP="0043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B7" w:rsidRDefault="00721EB7" w:rsidP="004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EB7" w:rsidRPr="0037120B" w:rsidRDefault="00721EB7" w:rsidP="003712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37120B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721EB7" w:rsidRPr="0037120B" w:rsidRDefault="00721EB7" w:rsidP="003712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(модуля):</w:t>
      </w:r>
    </w:p>
    <w:p w:rsidR="00721EB7" w:rsidRPr="0037120B" w:rsidRDefault="00721EB7" w:rsidP="003712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Предмет и задачи курса.</w:t>
      </w:r>
    </w:p>
    <w:p w:rsidR="00721EB7" w:rsidRPr="0037120B" w:rsidRDefault="00721EB7" w:rsidP="003712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Теоретико-методологические основы социальной политики региона.</w:t>
      </w:r>
    </w:p>
    <w:p w:rsidR="00721EB7" w:rsidRPr="0037120B" w:rsidRDefault="00721EB7" w:rsidP="003712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Основные направления региональной социальной политики.</w:t>
      </w:r>
    </w:p>
    <w:p w:rsidR="00721EB7" w:rsidRPr="0037120B" w:rsidRDefault="00721EB7" w:rsidP="003712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Перспективы социальной политики региона.</w:t>
      </w:r>
    </w:p>
    <w:p w:rsidR="00721EB7" w:rsidRPr="0037120B" w:rsidRDefault="00721EB7" w:rsidP="003712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20B">
        <w:rPr>
          <w:rFonts w:ascii="Times New Roman" w:hAnsi="Times New Roman" w:cs="Times New Roman"/>
          <w:b/>
          <w:sz w:val="32"/>
          <w:szCs w:val="32"/>
        </w:rPr>
        <w:t>Форма текущего контроля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20B">
        <w:rPr>
          <w:rFonts w:ascii="Times New Roman" w:hAnsi="Times New Roman" w:cs="Times New Roman"/>
          <w:b/>
          <w:sz w:val="28"/>
          <w:szCs w:val="28"/>
        </w:rPr>
        <w:t>Реферат  (контрольная работа)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      Содержание контрольной работы  состоит из следующих разделов: введения, теоретической части (разбивается на несколько параграфов) и практической части (в которой приводится не менее пяти документов по теме работы).  В конце работы приводится список использованной литературы и источников.  Список литературных источников, которыми можно пользоваться при написании контрольных работ, приведен в рабочей программе.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       Объем контрольной работы 18-20 страниц печатного текста формата А</w:t>
      </w:r>
      <w:proofErr w:type="gramStart"/>
      <w:r w:rsidRPr="0037120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, 14 шрифт, 1,5 интервала. Страницы нумеруются, начиная с 3 листа (Введение), заголовки выделяются. К работе дается содержание  с указанием страниц.  На титульном листе контрольной работы указывается  полное  название вуза, института, кафедры, название дисциплины,  тема работы, фамилия, имя, отчество  студента, шифр зачетной книжки. Выполненная работа передается на </w:t>
      </w:r>
      <w:proofErr w:type="gramStart"/>
      <w:r w:rsidRPr="0037120B">
        <w:rPr>
          <w:rFonts w:ascii="Times New Roman" w:hAnsi="Times New Roman" w:cs="Times New Roman"/>
          <w:sz w:val="28"/>
          <w:szCs w:val="28"/>
        </w:rPr>
        <w:t>кафедру</w:t>
      </w:r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 на проверку в установленные сроки. 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20B">
        <w:rPr>
          <w:rFonts w:ascii="Times New Roman" w:hAnsi="Times New Roman" w:cs="Times New Roman"/>
          <w:i/>
          <w:sz w:val="28"/>
          <w:szCs w:val="28"/>
        </w:rPr>
        <w:t xml:space="preserve">       Темы контрольных работ выбираются в соответствии с последними цифрами шифра зачетной книжки студента. Работы, выполненные не по своему варианту, не зачитываются и возвращаются студенту.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ТРЕБОВАНИЯ К КОНТРОЛЬНЫМ РАБОТАМ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1.  Соответствие темы варианту, а содержания работы  - теме.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2.  Наличие практической части, выполненной по теме работы .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3.  Аккуратность в выполнении и оформлении.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4.  Отсутствие текстуального сходства с другими работами.</w:t>
      </w:r>
    </w:p>
    <w:p w:rsidR="00721EB7" w:rsidRPr="0037120B" w:rsidRDefault="00721EB7" w:rsidP="0037120B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lastRenderedPageBreak/>
        <w:t>Тематика рефератов: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Особенности нормативно-правовых документов, регламентирующих деятельность социальных учреждений в Забайкальском крае.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Реклама передового </w:t>
      </w:r>
      <w:proofErr w:type="gramStart"/>
      <w:r w:rsidRPr="0037120B">
        <w:rPr>
          <w:rFonts w:ascii="Times New Roman" w:hAnsi="Times New Roman" w:cs="Times New Roman"/>
          <w:sz w:val="28"/>
          <w:szCs w:val="28"/>
        </w:rPr>
        <w:t>опыта работы региональных органов социальной защиты населения</w:t>
      </w:r>
      <w:proofErr w:type="gramEnd"/>
      <w:r w:rsidRPr="0037120B">
        <w:rPr>
          <w:rFonts w:ascii="Times New Roman" w:hAnsi="Times New Roman" w:cs="Times New Roman"/>
          <w:sz w:val="28"/>
          <w:szCs w:val="28"/>
        </w:rPr>
        <w:t>.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Адреса передового опыта деятельности Комплексных центров социального обслуживания в регионах России.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Реабилитационные мероприятия, осуществляемы е социальными учреждениями.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Сущность и содержание функциональных обязанностей специалиста по социальной работе в социальных приютах для детей и подростков.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Структура, функции и направления деятельности центров психолого-педагогической помощи.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Передовой опыт работы Центров экстренной психологической помощи по телефону.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Особенности деятельности специальных домов для одиноких граждан. 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Виды и формы геронтологических услуг.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Организация работы Дома ночного пребывания.</w:t>
      </w:r>
    </w:p>
    <w:p w:rsidR="00721EB7" w:rsidRPr="0037120B" w:rsidRDefault="00721EB7" w:rsidP="0037120B">
      <w:pPr>
        <w:pStyle w:val="a3"/>
        <w:numPr>
          <w:ilvl w:val="0"/>
          <w:numId w:val="2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Составление проекта социального учреждения для различных категорий населения.</w:t>
      </w:r>
    </w:p>
    <w:p w:rsidR="00721EB7" w:rsidRPr="0037120B" w:rsidRDefault="0037120B" w:rsidP="0037120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20B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37120B">
          <w:rPr>
            <w:rStyle w:val="a4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721EB7" w:rsidRPr="0037120B" w:rsidRDefault="00721EB7" w:rsidP="003712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20B">
        <w:rPr>
          <w:rFonts w:ascii="Times New Roman" w:hAnsi="Times New Roman" w:cs="Times New Roman"/>
          <w:b/>
          <w:sz w:val="32"/>
          <w:szCs w:val="32"/>
        </w:rPr>
        <w:t>Форма промежуточного контроля</w:t>
      </w:r>
    </w:p>
    <w:p w:rsidR="00721EB7" w:rsidRPr="0037120B" w:rsidRDefault="00721EB7" w:rsidP="0037120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b/>
          <w:sz w:val="28"/>
          <w:szCs w:val="28"/>
        </w:rPr>
        <w:t>Зачет</w:t>
      </w:r>
      <w:r w:rsidRPr="0037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B7" w:rsidRPr="0037120B" w:rsidRDefault="00721EB7" w:rsidP="00721EB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Вопросы: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Функции и основные задачи органов социальной защиты населения.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Основные направления деятельности территориальных органов социальной защиты населения.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lastRenderedPageBreak/>
        <w:t>Государственная система социальных служб.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Общественные социальные предприятия и организации как социальные службы.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Законодательная основа социальной защиты населения.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Социальное обслуживание: сущность, принципы, основные формы.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Стационарное социальное обслуживание населения.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Основные направления деятельности центра социального обслуживания населения.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Содержание деятельности центра социальной помощи семье и детям.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Структура и основные направления работы социально-реабилитационных центров для несовершеннолетних.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Сущность и содержание работы в реабилитационных центрах для детей и подростков с ограниченными возможностями.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Сущность социальных услуг в социальном приюте для детей и подростков.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Структура, функции, основные направления деятельности центра психолого-педагогической помощи.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Центры экстренной психологической помощи по телефону: цель и задачи, функции, требования к кадрам.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Организация и содержание работы специальных домов для одиноких граждан.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Сущность содержания деятельности геронтологических центров.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Управление, финансирование, кадровое обеспечение Домов ночного пребывания.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Социальные проекты в деятельности социальных служб: основные элементы, особенности создания.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Финансовое и кадровое обеспечение учреждений социального обслуживания.</w:t>
      </w:r>
    </w:p>
    <w:p w:rsidR="00721EB7" w:rsidRPr="0037120B" w:rsidRDefault="00721EB7" w:rsidP="00721EB7">
      <w:pPr>
        <w:pStyle w:val="a3"/>
        <w:numPr>
          <w:ilvl w:val="0"/>
          <w:numId w:val="1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0B">
        <w:rPr>
          <w:rFonts w:ascii="Times New Roman" w:hAnsi="Times New Roman" w:cs="Times New Roman"/>
          <w:sz w:val="28"/>
          <w:szCs w:val="28"/>
        </w:rPr>
        <w:t>Региональная концепция социальной политики в Забайкальском крае.</w:t>
      </w:r>
    </w:p>
    <w:p w:rsidR="0037120B" w:rsidRPr="006C4469" w:rsidRDefault="0037120B" w:rsidP="00721EB7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20B" w:rsidRPr="006C4469" w:rsidRDefault="0037120B" w:rsidP="00721EB7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EB7" w:rsidRPr="0037120B" w:rsidRDefault="00721EB7" w:rsidP="00721EB7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20B">
        <w:rPr>
          <w:rFonts w:ascii="Times New Roman" w:hAnsi="Times New Roman" w:cs="Times New Roman"/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721EB7" w:rsidRPr="0037120B" w:rsidRDefault="00721EB7" w:rsidP="00721EB7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20B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721EB7" w:rsidRPr="0037120B" w:rsidRDefault="00721EB7" w:rsidP="00721EB7">
      <w:pPr>
        <w:pStyle w:val="a3"/>
        <w:numPr>
          <w:ilvl w:val="0"/>
          <w:numId w:val="3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Горденко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, Н.Д. Социальная политика как аспект развития региона [текст]//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Н.Д.Горденко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 xml:space="preserve"> //Социальная работа. №3.2010. С.5</w:t>
      </w:r>
    </w:p>
    <w:p w:rsidR="00721EB7" w:rsidRPr="0037120B" w:rsidRDefault="00721EB7" w:rsidP="00721EB7">
      <w:pPr>
        <w:pStyle w:val="a3"/>
        <w:numPr>
          <w:ilvl w:val="0"/>
          <w:numId w:val="3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Западная Сибирь. Социально-экономическая карта [Мультимедиа]: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. пособие. – М.: Дрофа, 2006.</w:t>
      </w:r>
    </w:p>
    <w:p w:rsidR="00721EB7" w:rsidRPr="0037120B" w:rsidRDefault="00721EB7" w:rsidP="00721EB7">
      <w:pPr>
        <w:pStyle w:val="a3"/>
        <w:numPr>
          <w:ilvl w:val="0"/>
          <w:numId w:val="3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Мартынов, С.А. Эффективная социальная политика – залог благополучия граждан [текст]// Социальная работа. №1. 2010. С.3</w:t>
      </w:r>
    </w:p>
    <w:p w:rsidR="00721EB7" w:rsidRPr="0037120B" w:rsidRDefault="00721EB7" w:rsidP="00721EB7">
      <w:pPr>
        <w:pStyle w:val="a3"/>
        <w:numPr>
          <w:ilvl w:val="0"/>
          <w:numId w:val="3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Социальная политика [текст]: учебник /</w:t>
      </w:r>
      <w:proofErr w:type="gramStart"/>
      <w:r w:rsidRPr="0037120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 общ. Ред. Н.А. Волгина. – 2-е изд., стер. – М.: «Экзамен», 2004. – 736с.</w:t>
      </w:r>
    </w:p>
    <w:p w:rsidR="00721EB7" w:rsidRPr="0037120B" w:rsidRDefault="00721EB7" w:rsidP="00721EB7">
      <w:pPr>
        <w:pStyle w:val="a3"/>
        <w:numPr>
          <w:ilvl w:val="0"/>
          <w:numId w:val="3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Социально-экономическое положение муниципальных районов и городских округов Забайкальского края [текст]: статистический сборник/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Забайкалкрайстат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. – Чита, 2009. – 144с.</w:t>
      </w:r>
    </w:p>
    <w:p w:rsidR="00721EB7" w:rsidRPr="0037120B" w:rsidRDefault="00721EB7" w:rsidP="00721EB7">
      <w:pPr>
        <w:pStyle w:val="a3"/>
        <w:numPr>
          <w:ilvl w:val="0"/>
          <w:numId w:val="3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0B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 xml:space="preserve">, Е.И. Социальная политика и социальная работа [текст]: учебное пособие /Е.И.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 xml:space="preserve">. – 4-е изд.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. и доп.- М.: Дашков и К, 2011. – 205с.</w:t>
      </w:r>
    </w:p>
    <w:p w:rsidR="00721EB7" w:rsidRPr="0037120B" w:rsidRDefault="00721EB7" w:rsidP="00721EB7">
      <w:pPr>
        <w:pStyle w:val="a3"/>
        <w:numPr>
          <w:ilvl w:val="0"/>
          <w:numId w:val="3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0B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, А.Е. Социальные реформы в современной России: в оценках региональных лидеров /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. №11. 2010. С.16.</w:t>
      </w:r>
    </w:p>
    <w:p w:rsidR="00721EB7" w:rsidRPr="0037120B" w:rsidRDefault="00721EB7" w:rsidP="00721EB7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EB7" w:rsidRPr="0037120B" w:rsidRDefault="00721EB7" w:rsidP="00721EB7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20B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721EB7" w:rsidRPr="0037120B" w:rsidRDefault="00721EB7" w:rsidP="00721EB7">
      <w:pPr>
        <w:pStyle w:val="a3"/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Бурджалов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, Ф.Э. Современная социальная политика: между планом и рынком [Текст]: учеб</w:t>
      </w:r>
      <w:proofErr w:type="gramStart"/>
      <w:r w:rsidRPr="003712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2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особие /Ф.Э.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Бурджалов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 xml:space="preserve">. – М.-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, 1996. – 272с.</w:t>
      </w:r>
    </w:p>
    <w:p w:rsidR="00721EB7" w:rsidRPr="0037120B" w:rsidRDefault="00721EB7" w:rsidP="00721EB7">
      <w:pPr>
        <w:pStyle w:val="a3"/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Гонтмахер, Е.Ш. Социальная политика в России [Текст]: уроки  90-х /Е.Ш. Гонтмахер. – М.: Гелиос АРВ, 2000. – 336с.</w:t>
      </w:r>
    </w:p>
    <w:p w:rsidR="00721EB7" w:rsidRPr="0037120B" w:rsidRDefault="00721EB7" w:rsidP="00721EB7">
      <w:pPr>
        <w:pStyle w:val="a3"/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Жуков, В.И. Российские преобразования: социология, экономика, политика [Текст]/В.И. Жуков. – М.: </w:t>
      </w:r>
      <w:proofErr w:type="spellStart"/>
      <w:proofErr w:type="gramStart"/>
      <w:r w:rsidRPr="0037120B">
        <w:rPr>
          <w:rFonts w:ascii="Times New Roman" w:hAnsi="Times New Roman" w:cs="Times New Roman"/>
          <w:sz w:val="28"/>
          <w:szCs w:val="28"/>
        </w:rPr>
        <w:t>Акад</w:t>
      </w:r>
      <w:proofErr w:type="spellEnd"/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Проек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, 2003. – 656с.</w:t>
      </w:r>
    </w:p>
    <w:p w:rsidR="00721EB7" w:rsidRPr="0037120B" w:rsidRDefault="00721EB7" w:rsidP="00721EB7">
      <w:pPr>
        <w:pStyle w:val="a3"/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Митрошенко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 xml:space="preserve">, О.А. Социальная политика в России.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Мегатенденции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 xml:space="preserve"> 1998-2010 гг. [Текст]: доклад /О.А.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Митрошенков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37120B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 труда и соц. развития РФ; МГСУ. – М.: 1998, 20с. </w:t>
      </w:r>
    </w:p>
    <w:p w:rsidR="00721EB7" w:rsidRPr="0037120B" w:rsidRDefault="00721EB7" w:rsidP="00721EB7">
      <w:pPr>
        <w:pStyle w:val="a3"/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lastRenderedPageBreak/>
        <w:t xml:space="preserve">Попов,  В.Г. Социальная политика и социальная работа [Текст]: </w:t>
      </w:r>
      <w:proofErr w:type="spellStart"/>
      <w:proofErr w:type="gramStart"/>
      <w:r w:rsidRPr="0037120B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. Пособие /В.Г. Попов, Е.И.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. – М.: 1998. – 217с.</w:t>
      </w:r>
    </w:p>
    <w:p w:rsidR="00721EB7" w:rsidRPr="0037120B" w:rsidRDefault="00721EB7" w:rsidP="00721EB7">
      <w:pPr>
        <w:pStyle w:val="a3"/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Социальная политика в период перехода к рынку: проблемы и решения [Текст]: сб. статей /Под </w:t>
      </w:r>
      <w:proofErr w:type="spellStart"/>
      <w:proofErr w:type="gramStart"/>
      <w:r w:rsidRPr="0037120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А.Ослунда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,  М. Дмитриева- М.: Центр Карнеги, 1996с.- 168с.</w:t>
      </w:r>
    </w:p>
    <w:p w:rsidR="00721EB7" w:rsidRPr="0037120B" w:rsidRDefault="00721EB7" w:rsidP="00721EB7">
      <w:pPr>
        <w:pStyle w:val="a3"/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20B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, Е.И. Социальная политика [Текст]: учеб</w:t>
      </w:r>
      <w:proofErr w:type="gramStart"/>
      <w:r w:rsidRPr="003712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2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20B">
        <w:rPr>
          <w:rFonts w:ascii="Times New Roman" w:hAnsi="Times New Roman" w:cs="Times New Roman"/>
          <w:sz w:val="28"/>
          <w:szCs w:val="28"/>
        </w:rPr>
        <w:t xml:space="preserve">особие /Е.И.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. – М.: ИНФРА-М, 2001. – 204с.</w:t>
      </w:r>
    </w:p>
    <w:p w:rsidR="00721EB7" w:rsidRPr="0037120B" w:rsidRDefault="00721EB7" w:rsidP="00721E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B7" w:rsidRPr="0037120B" w:rsidRDefault="00721EB7" w:rsidP="00721EB7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20B">
        <w:rPr>
          <w:rFonts w:ascii="Times New Roman" w:hAnsi="Times New Roman" w:cs="Times New Roman"/>
          <w:b/>
          <w:sz w:val="28"/>
          <w:szCs w:val="28"/>
        </w:rPr>
        <w:t xml:space="preserve"> Собственные учебные пособия</w:t>
      </w:r>
    </w:p>
    <w:p w:rsidR="00721EB7" w:rsidRPr="0037120B" w:rsidRDefault="00721EB7" w:rsidP="00721EB7">
      <w:pPr>
        <w:pStyle w:val="a3"/>
        <w:numPr>
          <w:ilvl w:val="0"/>
          <w:numId w:val="5"/>
        </w:num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Бейгуленко О.В. Теория и методика социальной работы. - Чита: Издательство «Профи» ООО «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ЗабЦВИТ</w:t>
      </w:r>
      <w:proofErr w:type="spellEnd"/>
      <w:r w:rsidRPr="0037120B">
        <w:rPr>
          <w:rFonts w:ascii="Times New Roman" w:hAnsi="Times New Roman" w:cs="Times New Roman"/>
          <w:sz w:val="28"/>
          <w:szCs w:val="28"/>
        </w:rPr>
        <w:t>», 2013. – 168с.</w:t>
      </w:r>
    </w:p>
    <w:p w:rsidR="0037120B" w:rsidRPr="006C4469" w:rsidRDefault="0037120B" w:rsidP="00721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>Ведущий преподаватель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доцент кафедры социальной работы             </w:t>
      </w:r>
      <w:r w:rsidR="003712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7120B">
        <w:rPr>
          <w:rFonts w:ascii="Times New Roman" w:hAnsi="Times New Roman" w:cs="Times New Roman"/>
          <w:sz w:val="28"/>
          <w:szCs w:val="28"/>
        </w:rPr>
        <w:t xml:space="preserve"> О.В. Бейгуленко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721EB7" w:rsidRPr="0037120B" w:rsidRDefault="00721EB7" w:rsidP="00371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0B">
        <w:rPr>
          <w:rFonts w:ascii="Times New Roman" w:hAnsi="Times New Roman" w:cs="Times New Roman"/>
          <w:sz w:val="28"/>
          <w:szCs w:val="28"/>
        </w:rPr>
        <w:t xml:space="preserve"> социальной работы                                         </w:t>
      </w:r>
      <w:r w:rsidR="003712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120B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37120B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</w:p>
    <w:p w:rsidR="002552E4" w:rsidRDefault="002552E4" w:rsidP="0037120B">
      <w:pPr>
        <w:spacing w:after="0"/>
      </w:pPr>
    </w:p>
    <w:sectPr w:rsidR="002552E4" w:rsidSect="00C3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6B"/>
    <w:multiLevelType w:val="hybridMultilevel"/>
    <w:tmpl w:val="0656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4450"/>
    <w:multiLevelType w:val="hybridMultilevel"/>
    <w:tmpl w:val="9E62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8F8"/>
    <w:multiLevelType w:val="hybridMultilevel"/>
    <w:tmpl w:val="C226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409"/>
    <w:multiLevelType w:val="multilevel"/>
    <w:tmpl w:val="2D4C4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8D162FA"/>
    <w:multiLevelType w:val="hybridMultilevel"/>
    <w:tmpl w:val="3B5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A6FB0"/>
    <w:multiLevelType w:val="multilevel"/>
    <w:tmpl w:val="A6FED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EB7"/>
    <w:rsid w:val="002552E4"/>
    <w:rsid w:val="002E28CB"/>
    <w:rsid w:val="0037120B"/>
    <w:rsid w:val="005B30A6"/>
    <w:rsid w:val="005B3395"/>
    <w:rsid w:val="006C4469"/>
    <w:rsid w:val="00721EB7"/>
    <w:rsid w:val="00C16203"/>
    <w:rsid w:val="00CC0AA5"/>
    <w:rsid w:val="00DA043C"/>
    <w:rsid w:val="00F3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B7"/>
    <w:pPr>
      <w:ind w:left="720"/>
      <w:contextualSpacing/>
    </w:pPr>
  </w:style>
  <w:style w:type="character" w:styleId="a4">
    <w:name w:val="Hyperlink"/>
    <w:rsid w:val="0037120B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C4469"/>
    <w:pPr>
      <w:widowControl w:val="0"/>
      <w:shd w:val="clear" w:color="auto" w:fill="FFFFFF"/>
      <w:spacing w:before="10" w:after="0" w:line="494" w:lineRule="exact"/>
      <w:jc w:val="both"/>
    </w:pPr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C4469"/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6</cp:revision>
  <dcterms:created xsi:type="dcterms:W3CDTF">2015-10-12T10:28:00Z</dcterms:created>
  <dcterms:modified xsi:type="dcterms:W3CDTF">2018-10-07T14:16:00Z</dcterms:modified>
</cp:coreProperties>
</file>